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B411" w14:textId="6493CF46" w:rsidR="005948AF" w:rsidRPr="005948AF" w:rsidRDefault="00D41829" w:rsidP="00B46597">
      <w:pPr>
        <w:contextualSpacing/>
        <w:rPr>
          <w:rFonts w:ascii="Palatino Linotype" w:hAnsi="Palatino Linotype"/>
          <w:b/>
          <w:bCs/>
          <w:sz w:val="40"/>
          <w:szCs w:val="40"/>
        </w:rPr>
      </w:pPr>
      <w:r>
        <w:rPr>
          <w:rFonts w:ascii="Palatino Linotype" w:hAnsi="Palatino Linotype"/>
          <w:b/>
          <w:bCs/>
          <w:sz w:val="40"/>
          <w:szCs w:val="40"/>
        </w:rPr>
        <w:t>5 Sexual Immorality in 1 Corinthians</w:t>
      </w:r>
    </w:p>
    <w:p w14:paraId="42AC9AF2" w14:textId="0BC22963" w:rsidR="005948AF" w:rsidRPr="00D26D21" w:rsidRDefault="002A6BC4" w:rsidP="00B46597">
      <w:pPr>
        <w:contextualSpacing/>
        <w:rPr>
          <w:rFonts w:ascii="Palatino Linotype" w:hAnsi="Palatino Linotype"/>
          <w:sz w:val="24"/>
          <w:szCs w:val="24"/>
        </w:rPr>
      </w:pPr>
      <w:r w:rsidRPr="00D26D21">
        <w:rPr>
          <w:rFonts w:ascii="Palatino Linotype" w:hAnsi="Palatino Linotype"/>
          <w:sz w:val="24"/>
          <w:szCs w:val="24"/>
        </w:rPr>
        <w:t>1 Corinthians 5:1-3; 6:12-20</w:t>
      </w:r>
    </w:p>
    <w:p w14:paraId="4B1BCA38" w14:textId="77777777" w:rsidR="002A6BC4" w:rsidRPr="00D26D21" w:rsidRDefault="002A6BC4" w:rsidP="00B46597">
      <w:pPr>
        <w:contextualSpacing/>
        <w:rPr>
          <w:rFonts w:ascii="Palatino Linotype" w:hAnsi="Palatino Linotype"/>
          <w:sz w:val="24"/>
          <w:szCs w:val="24"/>
        </w:rPr>
      </w:pPr>
    </w:p>
    <w:p w14:paraId="4465DDB3" w14:textId="6758AA22" w:rsidR="00C019AB" w:rsidRPr="00D26D21" w:rsidRDefault="00816265" w:rsidP="00D41829">
      <w:pPr>
        <w:rPr>
          <w:rFonts w:ascii="Palatino Linotype" w:hAnsi="Palatino Linotype"/>
          <w:sz w:val="24"/>
          <w:szCs w:val="24"/>
        </w:rPr>
      </w:pPr>
      <w:r w:rsidRPr="00D26D21">
        <w:rPr>
          <w:rFonts w:ascii="Palatino Linotype" w:hAnsi="Palatino Linotype"/>
          <w:sz w:val="24"/>
          <w:szCs w:val="24"/>
        </w:rPr>
        <w:t>Venus (Aphrodite)</w:t>
      </w:r>
      <w:r w:rsidR="00F55A24" w:rsidRPr="00D26D21">
        <w:rPr>
          <w:rFonts w:ascii="Palatino Linotype" w:hAnsi="Palatino Linotype"/>
          <w:sz w:val="24"/>
          <w:szCs w:val="24"/>
        </w:rPr>
        <w:t xml:space="preserve"> and Prostitution</w:t>
      </w:r>
    </w:p>
    <w:p w14:paraId="7F13B820" w14:textId="2809DF2B" w:rsidR="00816265" w:rsidRPr="00D26D21" w:rsidRDefault="00816265" w:rsidP="00816265">
      <w:pPr>
        <w:pStyle w:val="ListParagraph"/>
        <w:numPr>
          <w:ilvl w:val="0"/>
          <w:numId w:val="13"/>
        </w:numPr>
        <w:rPr>
          <w:rFonts w:ascii="Palatino Linotype" w:hAnsi="Palatino Linotype"/>
          <w:sz w:val="24"/>
          <w:szCs w:val="24"/>
        </w:rPr>
      </w:pPr>
      <w:r w:rsidRPr="00D26D21">
        <w:rPr>
          <w:rFonts w:ascii="Palatino Linotype" w:hAnsi="Palatino Linotype"/>
          <w:sz w:val="24"/>
          <w:szCs w:val="24"/>
        </w:rPr>
        <w:t>Venus, the Roman goddess driving physical attraction, romance, and fertility was a big deal in Corinth. She had a temple on the Acrocorinth.</w:t>
      </w:r>
    </w:p>
    <w:p w14:paraId="0C6D98EA" w14:textId="25C589AB" w:rsidR="00F55A24" w:rsidRPr="00D26D21" w:rsidRDefault="00F55A24" w:rsidP="00F55A24">
      <w:pPr>
        <w:pStyle w:val="ListParagraph"/>
        <w:numPr>
          <w:ilvl w:val="0"/>
          <w:numId w:val="13"/>
        </w:numPr>
        <w:rPr>
          <w:rFonts w:ascii="Palatino Linotype" w:hAnsi="Palatino Linotype"/>
          <w:sz w:val="24"/>
          <w:szCs w:val="24"/>
        </w:rPr>
      </w:pPr>
      <w:r w:rsidRPr="00D26D21">
        <w:rPr>
          <w:rFonts w:ascii="Palatino Linotype" w:hAnsi="Palatino Linotype"/>
          <w:sz w:val="24"/>
          <w:szCs w:val="24"/>
        </w:rPr>
        <w:t>Strabo: “The sanctuary of Aphrodite was so rich that it possessed more than a thousand temple slaves—</w:t>
      </w:r>
      <w:proofErr w:type="spellStart"/>
      <w:r w:rsidRPr="00D26D21">
        <w:rPr>
          <w:rFonts w:ascii="Palatino Linotype" w:hAnsi="Palatino Linotype"/>
          <w:sz w:val="24"/>
          <w:szCs w:val="24"/>
        </w:rPr>
        <w:t>hetairas</w:t>
      </w:r>
      <w:proofErr w:type="spellEnd"/>
      <w:r w:rsidRPr="00D26D21">
        <w:rPr>
          <w:rFonts w:ascii="Palatino Linotype" w:hAnsi="Palatino Linotype"/>
          <w:sz w:val="24"/>
          <w:szCs w:val="24"/>
        </w:rPr>
        <w:t>—who had been dedicated to the goddess by both men and women. Because of them</w:t>
      </w:r>
      <w:r w:rsidR="00412E76">
        <w:rPr>
          <w:rFonts w:ascii="Palatino Linotype" w:hAnsi="Palatino Linotype"/>
          <w:sz w:val="24"/>
          <w:szCs w:val="24"/>
        </w:rPr>
        <w:t>,</w:t>
      </w:r>
      <w:r w:rsidRPr="00D26D21">
        <w:rPr>
          <w:rFonts w:ascii="Palatino Linotype" w:hAnsi="Palatino Linotype"/>
          <w:sz w:val="24"/>
          <w:szCs w:val="24"/>
        </w:rPr>
        <w:t xml:space="preserve"> the city was crowded and became rich. The shipowners spent freely and easily, and thus a proverb </w:t>
      </w:r>
      <w:r w:rsidR="00C028A7" w:rsidRPr="00D26D21">
        <w:rPr>
          <w:rFonts w:ascii="Palatino Linotype" w:hAnsi="Palatino Linotype"/>
          <w:sz w:val="24"/>
          <w:szCs w:val="24"/>
        </w:rPr>
        <w:t>says,</w:t>
      </w:r>
      <w:r w:rsidRPr="00D26D21">
        <w:rPr>
          <w:rFonts w:ascii="Palatino Linotype" w:hAnsi="Palatino Linotype"/>
          <w:sz w:val="24"/>
          <w:szCs w:val="24"/>
        </w:rPr>
        <w:t xml:space="preserve"> “the voyage to Corinth is not for all men.””</w:t>
      </w:r>
      <w:r w:rsidRPr="00D26D21">
        <w:rPr>
          <w:rStyle w:val="FootnoteReference"/>
          <w:rFonts w:ascii="Palatino Linotype" w:hAnsi="Palatino Linotype"/>
          <w:sz w:val="24"/>
          <w:szCs w:val="24"/>
        </w:rPr>
        <w:footnoteReference w:id="1"/>
      </w:r>
    </w:p>
    <w:p w14:paraId="51816EBE" w14:textId="7436D7D5" w:rsidR="00F55A24" w:rsidRPr="00D26D21" w:rsidRDefault="00AB5C7F" w:rsidP="00F55A24">
      <w:pPr>
        <w:pStyle w:val="ListParagraph"/>
        <w:numPr>
          <w:ilvl w:val="0"/>
          <w:numId w:val="13"/>
        </w:numPr>
        <w:rPr>
          <w:rFonts w:ascii="Palatino Linotype" w:hAnsi="Palatino Linotype"/>
          <w:sz w:val="24"/>
          <w:szCs w:val="24"/>
        </w:rPr>
      </w:pPr>
      <w:r w:rsidRPr="00D26D21">
        <w:rPr>
          <w:rFonts w:ascii="Palatino Linotype" w:hAnsi="Palatino Linotype"/>
          <w:sz w:val="24"/>
          <w:szCs w:val="24"/>
        </w:rPr>
        <w:t>Jerome Murphy-O’Connor</w:t>
      </w:r>
      <w:r w:rsidR="00F55A24" w:rsidRPr="00D26D21">
        <w:rPr>
          <w:rFonts w:ascii="Palatino Linotype" w:hAnsi="Palatino Linotype"/>
          <w:sz w:val="24"/>
          <w:szCs w:val="24"/>
        </w:rPr>
        <w:t xml:space="preserve">: “Many New Testament introduction and commentaries have stressed this aspect because it appears to provide an explanation for the attention that Paul was obliged to give to sexual problems in 1 Corinthians 5-7. However, the context clearly indicates that Strabo is here referring to the pre-146 </w:t>
      </w:r>
      <w:proofErr w:type="spellStart"/>
      <w:r w:rsidR="00F55A24" w:rsidRPr="00D26D21">
        <w:rPr>
          <w:rFonts w:ascii="Palatino Linotype" w:hAnsi="Palatino Linotype"/>
          <w:smallCaps/>
          <w:sz w:val="24"/>
          <w:szCs w:val="24"/>
        </w:rPr>
        <w:t>b.c.</w:t>
      </w:r>
      <w:proofErr w:type="spellEnd"/>
      <w:r w:rsidR="00F55A24" w:rsidRPr="00D26D21">
        <w:rPr>
          <w:rFonts w:ascii="Palatino Linotype" w:hAnsi="Palatino Linotype"/>
          <w:sz w:val="24"/>
          <w:szCs w:val="24"/>
        </w:rPr>
        <w:t xml:space="preserve"> city and not the newly constituted Roman colony that he visited in 29 </w:t>
      </w:r>
      <w:proofErr w:type="spellStart"/>
      <w:r w:rsidR="00F55A24" w:rsidRPr="00D26D21">
        <w:rPr>
          <w:rFonts w:ascii="Palatino Linotype" w:hAnsi="Palatino Linotype"/>
          <w:smallCaps/>
          <w:sz w:val="24"/>
          <w:szCs w:val="24"/>
        </w:rPr>
        <w:t>b.c</w:t>
      </w:r>
      <w:r w:rsidR="00F55A24" w:rsidRPr="00D26D21">
        <w:rPr>
          <w:rFonts w:ascii="Palatino Linotype" w:hAnsi="Palatino Linotype"/>
          <w:sz w:val="24"/>
          <w:szCs w:val="24"/>
        </w:rPr>
        <w:t>.</w:t>
      </w:r>
      <w:proofErr w:type="spellEnd"/>
      <w:r w:rsidR="00F55A24" w:rsidRPr="00D26D21">
        <w:rPr>
          <w:rFonts w:ascii="Palatino Linotype" w:hAnsi="Palatino Linotype"/>
          <w:sz w:val="24"/>
          <w:szCs w:val="24"/>
        </w:rPr>
        <w:t xml:space="preserve"> Then he saw only a “small temple of Aphrodite” (21b); the same adjective would apply to the two that Pausanias mentions. …Corinth did have “a great army of prostitutes” (Plutarch, </w:t>
      </w:r>
      <w:r w:rsidR="00F55A24" w:rsidRPr="00D26D21">
        <w:rPr>
          <w:rFonts w:ascii="Palatino Linotype" w:hAnsi="Palatino Linotype"/>
          <w:i/>
          <w:iCs/>
          <w:sz w:val="24"/>
          <w:szCs w:val="24"/>
        </w:rPr>
        <w:t xml:space="preserve">Moralia </w:t>
      </w:r>
      <w:r w:rsidR="00F55A24" w:rsidRPr="00D26D21">
        <w:rPr>
          <w:rFonts w:ascii="Palatino Linotype" w:hAnsi="Palatino Linotype"/>
          <w:sz w:val="24"/>
          <w:szCs w:val="24"/>
        </w:rPr>
        <w:t>768a), but it is doubtful that the situation there was any worse than in other port-cities of the eastern Mediterranean.”</w:t>
      </w:r>
      <w:r w:rsidR="00F55A24" w:rsidRPr="00D26D21">
        <w:rPr>
          <w:rStyle w:val="FootnoteReference"/>
          <w:rFonts w:ascii="Palatino Linotype" w:hAnsi="Palatino Linotype"/>
          <w:sz w:val="24"/>
          <w:szCs w:val="24"/>
        </w:rPr>
        <w:footnoteReference w:id="2"/>
      </w:r>
    </w:p>
    <w:p w14:paraId="357C489C" w14:textId="5C3DE36A" w:rsidR="00C028A7" w:rsidRPr="00D26D21" w:rsidRDefault="00C028A7" w:rsidP="00C028A7">
      <w:pPr>
        <w:rPr>
          <w:rFonts w:ascii="Palatino Linotype" w:hAnsi="Palatino Linotype"/>
          <w:sz w:val="24"/>
          <w:szCs w:val="24"/>
        </w:rPr>
      </w:pPr>
      <w:r w:rsidRPr="00D26D21">
        <w:rPr>
          <w:rFonts w:ascii="Palatino Linotype" w:hAnsi="Palatino Linotype"/>
          <w:sz w:val="24"/>
          <w:szCs w:val="24"/>
        </w:rPr>
        <w:t>Corinth Was Known for Lewdness</w:t>
      </w:r>
    </w:p>
    <w:p w14:paraId="515293B5" w14:textId="46CE6816" w:rsidR="00C028A7" w:rsidRPr="00D26D21" w:rsidRDefault="00C028A7" w:rsidP="00C028A7">
      <w:pPr>
        <w:pStyle w:val="ListParagraph"/>
        <w:numPr>
          <w:ilvl w:val="0"/>
          <w:numId w:val="13"/>
        </w:numPr>
        <w:rPr>
          <w:rFonts w:ascii="Palatino Linotype" w:hAnsi="Palatino Linotype"/>
          <w:sz w:val="24"/>
          <w:szCs w:val="24"/>
        </w:rPr>
      </w:pPr>
      <w:r w:rsidRPr="00D26D21">
        <w:rPr>
          <w:rFonts w:ascii="Palatino Linotype" w:hAnsi="Palatino Linotype"/>
          <w:sz w:val="24"/>
          <w:szCs w:val="24"/>
        </w:rPr>
        <w:t>Mar</w:t>
      </w:r>
      <w:r w:rsidR="002A6BC4" w:rsidRPr="00D26D21">
        <w:rPr>
          <w:rFonts w:ascii="Palatino Linotype" w:hAnsi="Palatino Linotype"/>
          <w:sz w:val="24"/>
          <w:szCs w:val="24"/>
        </w:rPr>
        <w:t>t</w:t>
      </w:r>
      <w:r w:rsidRPr="00D26D21">
        <w:rPr>
          <w:rFonts w:ascii="Palatino Linotype" w:hAnsi="Palatino Linotype"/>
          <w:sz w:val="24"/>
          <w:szCs w:val="24"/>
        </w:rPr>
        <w:t xml:space="preserve">ial: “You live on Senate Street, Laelia; your mother (who never used make-up) was descended from the sunburnt Etruscans, your tough old dad’s from somewhere round Aricia … But you’re forever stockpiling </w:t>
      </w:r>
      <w:proofErr w:type="spellStart"/>
      <w:r w:rsidRPr="00D26D21">
        <w:rPr>
          <w:rFonts w:ascii="Palatino Linotype" w:hAnsi="Palatino Linotype"/>
          <w:sz w:val="24"/>
          <w:szCs w:val="24"/>
        </w:rPr>
        <w:t>Grecisms</w:t>
      </w:r>
      <w:proofErr w:type="spellEnd"/>
      <w:r w:rsidRPr="00D26D21">
        <w:rPr>
          <w:rFonts w:ascii="Palatino Linotype" w:hAnsi="Palatino Linotype"/>
          <w:sz w:val="24"/>
          <w:szCs w:val="24"/>
        </w:rPr>
        <w:t xml:space="preserve"> … Have you no shame? … The bed’s where such expressions should be heard</w:t>
      </w:r>
      <w:r w:rsidRPr="00D26D21">
        <w:rPr>
          <w:rFonts w:ascii="Palatino Linotype" w:hAnsi="Palatino Linotype"/>
          <w:color w:val="808080" w:themeColor="background1" w:themeShade="80"/>
          <w:sz w:val="24"/>
          <w:szCs w:val="24"/>
        </w:rPr>
        <w:t xml:space="preserve"> … </w:t>
      </w:r>
      <w:r w:rsidRPr="00D26D21">
        <w:rPr>
          <w:rFonts w:ascii="Palatino Linotype" w:hAnsi="Palatino Linotype"/>
          <w:sz w:val="24"/>
          <w:szCs w:val="24"/>
        </w:rPr>
        <w:t xml:space="preserve">You should hear yourself talk—and you </w:t>
      </w:r>
      <w:proofErr w:type="gramStart"/>
      <w:r w:rsidRPr="00D26D21">
        <w:rPr>
          <w:rFonts w:ascii="Palatino Linotype" w:hAnsi="Palatino Linotype"/>
          <w:sz w:val="24"/>
          <w:szCs w:val="24"/>
        </w:rPr>
        <w:t>a respectable married lady</w:t>
      </w:r>
      <w:proofErr w:type="gramEnd"/>
      <w:r w:rsidRPr="00D26D21">
        <w:rPr>
          <w:rFonts w:ascii="Palatino Linotype" w:hAnsi="Palatino Linotype"/>
          <w:sz w:val="24"/>
          <w:szCs w:val="24"/>
        </w:rPr>
        <w:t>. … But even if you get all Corinth by heart and can recite it, Laelia, you still won’t quite be Lais.”</w:t>
      </w:r>
      <w:r w:rsidRPr="00D26D21">
        <w:rPr>
          <w:rStyle w:val="FootnoteReference"/>
          <w:rFonts w:ascii="Palatino Linotype" w:hAnsi="Palatino Linotype"/>
          <w:sz w:val="24"/>
          <w:szCs w:val="24"/>
        </w:rPr>
        <w:footnoteReference w:id="3"/>
      </w:r>
      <w:r w:rsidRPr="00D26D21">
        <w:rPr>
          <w:rFonts w:ascii="Palatino Linotype" w:hAnsi="Palatino Linotype"/>
          <w:sz w:val="24"/>
          <w:szCs w:val="24"/>
        </w:rPr>
        <w:t xml:space="preserve"> </w:t>
      </w:r>
    </w:p>
    <w:p w14:paraId="3216B536" w14:textId="6467BE36" w:rsidR="00C028A7" w:rsidRPr="00D26D21" w:rsidRDefault="00C028A7" w:rsidP="00C028A7">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Lais was a famous </w:t>
      </w:r>
      <w:proofErr w:type="spellStart"/>
      <w:r w:rsidRPr="00D26D21">
        <w:rPr>
          <w:rFonts w:ascii="Palatino Linotype" w:hAnsi="Palatino Linotype"/>
          <w:sz w:val="24"/>
          <w:szCs w:val="24"/>
        </w:rPr>
        <w:t>hetaira</w:t>
      </w:r>
      <w:proofErr w:type="spellEnd"/>
      <w:r w:rsidRPr="00D26D21">
        <w:rPr>
          <w:rFonts w:ascii="Palatino Linotype" w:hAnsi="Palatino Linotype"/>
          <w:sz w:val="24"/>
          <w:szCs w:val="24"/>
        </w:rPr>
        <w:t xml:space="preserve"> or courtesan in Corinth who lived </w:t>
      </w:r>
      <w:r w:rsidR="008E5DFA" w:rsidRPr="00D26D21">
        <w:rPr>
          <w:rFonts w:ascii="Palatino Linotype" w:hAnsi="Palatino Linotype"/>
          <w:sz w:val="24"/>
          <w:szCs w:val="24"/>
        </w:rPr>
        <w:t>four</w:t>
      </w:r>
      <w:r w:rsidRPr="00D26D21">
        <w:rPr>
          <w:rFonts w:ascii="Palatino Linotype" w:hAnsi="Palatino Linotype"/>
          <w:sz w:val="24"/>
          <w:szCs w:val="24"/>
        </w:rPr>
        <w:t xml:space="preserve"> centuries before Christ. A </w:t>
      </w:r>
      <w:proofErr w:type="spellStart"/>
      <w:r w:rsidRPr="00D26D21">
        <w:rPr>
          <w:rFonts w:ascii="Palatino Linotype" w:hAnsi="Palatino Linotype"/>
          <w:sz w:val="24"/>
          <w:szCs w:val="24"/>
        </w:rPr>
        <w:t>hetaira</w:t>
      </w:r>
      <w:proofErr w:type="spellEnd"/>
      <w:r w:rsidRPr="00D26D21">
        <w:rPr>
          <w:rFonts w:ascii="Palatino Linotype" w:hAnsi="Palatino Linotype"/>
          <w:sz w:val="24"/>
          <w:szCs w:val="24"/>
        </w:rPr>
        <w:t xml:space="preserve"> was a cultured prostitute who only worked for the wealthy. Lais was known for her beauty and wit and her exorbitant </w:t>
      </w:r>
      <w:proofErr w:type="gramStart"/>
      <w:r w:rsidRPr="00D26D21">
        <w:rPr>
          <w:rFonts w:ascii="Palatino Linotype" w:hAnsi="Palatino Linotype"/>
          <w:sz w:val="24"/>
          <w:szCs w:val="24"/>
        </w:rPr>
        <w:t>fees</w:t>
      </w:r>
      <w:proofErr w:type="gramEnd"/>
      <w:r w:rsidRPr="00D26D21">
        <w:rPr>
          <w:rFonts w:ascii="Palatino Linotype" w:hAnsi="Palatino Linotype"/>
          <w:sz w:val="24"/>
          <w:szCs w:val="24"/>
        </w:rPr>
        <w:t>.</w:t>
      </w:r>
    </w:p>
    <w:p w14:paraId="2C22718A" w14:textId="180E39CE" w:rsidR="00B81EE1" w:rsidRPr="00D26D21" w:rsidRDefault="002A6BC4" w:rsidP="002A6BC4">
      <w:pPr>
        <w:rPr>
          <w:rFonts w:ascii="Palatino Linotype" w:hAnsi="Palatino Linotype"/>
          <w:sz w:val="24"/>
          <w:szCs w:val="24"/>
        </w:rPr>
      </w:pPr>
      <w:r w:rsidRPr="00D26D21">
        <w:rPr>
          <w:rFonts w:ascii="Palatino Linotype" w:hAnsi="Palatino Linotype"/>
          <w:sz w:val="24"/>
          <w:szCs w:val="24"/>
        </w:rPr>
        <w:lastRenderedPageBreak/>
        <w:t xml:space="preserve">Roman Sensibilities about Marrying </w:t>
      </w:r>
      <w:r w:rsidR="00926166" w:rsidRPr="00D26D21">
        <w:rPr>
          <w:rFonts w:ascii="Palatino Linotype" w:hAnsi="Palatino Linotype"/>
          <w:sz w:val="24"/>
          <w:szCs w:val="24"/>
        </w:rPr>
        <w:t>a Stepmother</w:t>
      </w:r>
    </w:p>
    <w:p w14:paraId="5AFB43B1" w14:textId="5E79ED6C" w:rsidR="00926166" w:rsidRPr="00D26D21" w:rsidRDefault="00926166" w:rsidP="00926166">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1 Corinthians 5:1-2 </w:t>
      </w:r>
      <w:r w:rsidR="00412E76">
        <w:rPr>
          <w:rFonts w:ascii="Palatino Linotype" w:hAnsi="Palatino Linotype"/>
          <w:sz w:val="24"/>
          <w:szCs w:val="24"/>
        </w:rPr>
        <w:t xml:space="preserve">  </w:t>
      </w:r>
      <w:r w:rsidRPr="00D26D21">
        <w:rPr>
          <w:rFonts w:ascii="Palatino Linotype" w:hAnsi="Palatino Linotype"/>
          <w:sz w:val="24"/>
          <w:szCs w:val="24"/>
        </w:rPr>
        <w:t>A man in the church was living with his father’s wife</w:t>
      </w:r>
      <w:r w:rsidR="00F02E97" w:rsidRPr="00D26D21">
        <w:rPr>
          <w:rFonts w:ascii="Palatino Linotype" w:hAnsi="Palatino Linotype"/>
          <w:sz w:val="24"/>
          <w:szCs w:val="24"/>
        </w:rPr>
        <w:t xml:space="preserve"> </w:t>
      </w:r>
    </w:p>
    <w:p w14:paraId="0454D059" w14:textId="6C1CE2A6" w:rsidR="003354F6" w:rsidRPr="00D26D21" w:rsidRDefault="003354F6" w:rsidP="003354F6">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Gaius: “Moreover, I cannot marry my former mother-in-law or daughter-in-law, or my </w:t>
      </w:r>
      <w:proofErr w:type="gramStart"/>
      <w:r w:rsidRPr="00D26D21">
        <w:rPr>
          <w:rFonts w:ascii="Palatino Linotype" w:hAnsi="Palatino Linotype"/>
          <w:sz w:val="24"/>
          <w:szCs w:val="24"/>
        </w:rPr>
        <w:t>step-daughter</w:t>
      </w:r>
      <w:proofErr w:type="gramEnd"/>
      <w:r w:rsidRPr="00D26D21">
        <w:rPr>
          <w:rFonts w:ascii="Palatino Linotype" w:hAnsi="Palatino Linotype"/>
          <w:sz w:val="24"/>
          <w:szCs w:val="24"/>
        </w:rPr>
        <w:t xml:space="preserve"> or step-mother. We make use of the word "former," because if the marriage by which affinity of this kind was established is still in existence, there is another reason why I cannot marry her, for a woman cannot marry two men, nor can a man have two wives. Therefore, if anyone should contract a nefarious and incestuous </w:t>
      </w:r>
      <w:r w:rsidR="00412E76" w:rsidRPr="00D26D21">
        <w:rPr>
          <w:rFonts w:ascii="Palatino Linotype" w:hAnsi="Palatino Linotype"/>
          <w:sz w:val="24"/>
          <w:szCs w:val="24"/>
        </w:rPr>
        <w:t>marriage,</w:t>
      </w:r>
      <w:r w:rsidRPr="00D26D21">
        <w:rPr>
          <w:rFonts w:ascii="Palatino Linotype" w:hAnsi="Palatino Linotype"/>
          <w:sz w:val="24"/>
          <w:szCs w:val="24"/>
        </w:rPr>
        <w:t xml:space="preserve"> he is considered to have neither a wife nor children, hence the issue of such a union are considered to have a mother but no father, and for this reason are not subject to paternal authority, but resemble children whom the mother has conceived through promiscuous intercourse”</w:t>
      </w:r>
      <w:r w:rsidRPr="00D26D21">
        <w:rPr>
          <w:rStyle w:val="FootnoteReference"/>
          <w:rFonts w:ascii="Palatino Linotype" w:hAnsi="Palatino Linotype"/>
          <w:sz w:val="24"/>
          <w:szCs w:val="24"/>
        </w:rPr>
        <w:footnoteReference w:id="4"/>
      </w:r>
      <w:r w:rsidRPr="00D26D21">
        <w:rPr>
          <w:rFonts w:ascii="Palatino Linotype" w:hAnsi="Palatino Linotype"/>
          <w:sz w:val="24"/>
          <w:szCs w:val="24"/>
        </w:rPr>
        <w:t xml:space="preserve"> (Gaius, </w:t>
      </w:r>
      <w:r w:rsidRPr="00D26D21">
        <w:rPr>
          <w:rFonts w:ascii="Palatino Linotype" w:hAnsi="Palatino Linotype"/>
          <w:i/>
          <w:iCs/>
          <w:sz w:val="24"/>
          <w:szCs w:val="24"/>
        </w:rPr>
        <w:t>Institutes</w:t>
      </w:r>
      <w:r w:rsidRPr="00D26D21">
        <w:rPr>
          <w:rFonts w:ascii="Palatino Linotype" w:hAnsi="Palatino Linotype"/>
          <w:sz w:val="24"/>
          <w:szCs w:val="24"/>
        </w:rPr>
        <w:t xml:space="preserve"> 1.63-64) </w:t>
      </w:r>
    </w:p>
    <w:p w14:paraId="3B2DE62A" w14:textId="699ECB13" w:rsidR="0026169B" w:rsidRPr="00D26D21" w:rsidRDefault="003354F6" w:rsidP="007571B8">
      <w:pPr>
        <w:pStyle w:val="ListParagraph"/>
        <w:numPr>
          <w:ilvl w:val="0"/>
          <w:numId w:val="13"/>
        </w:numPr>
        <w:rPr>
          <w:rFonts w:ascii="Palatino Linotype" w:hAnsi="Palatino Linotype"/>
          <w:b/>
          <w:bCs/>
          <w:sz w:val="24"/>
          <w:szCs w:val="24"/>
        </w:rPr>
      </w:pPr>
      <w:r w:rsidRPr="00D26D21">
        <w:rPr>
          <w:rFonts w:ascii="Palatino Linotype" w:hAnsi="Palatino Linotype"/>
          <w:sz w:val="24"/>
          <w:szCs w:val="24"/>
        </w:rPr>
        <w:t xml:space="preserve">Catullus, a crass poet writing a century </w:t>
      </w:r>
      <w:r w:rsidR="00522FD5">
        <w:rPr>
          <w:rFonts w:ascii="Palatino Linotype" w:hAnsi="Palatino Linotype"/>
          <w:sz w:val="24"/>
          <w:szCs w:val="24"/>
        </w:rPr>
        <w:t xml:space="preserve">earlier </w:t>
      </w:r>
      <w:r w:rsidRPr="00D26D21">
        <w:rPr>
          <w:rFonts w:ascii="Palatino Linotype" w:hAnsi="Palatino Linotype"/>
          <w:sz w:val="24"/>
          <w:szCs w:val="24"/>
        </w:rPr>
        <w:t>considered incest one of the m</w:t>
      </w:r>
      <w:r w:rsidR="00412E76">
        <w:rPr>
          <w:rFonts w:ascii="Palatino Linotype" w:hAnsi="Palatino Linotype"/>
          <w:sz w:val="24"/>
          <w:szCs w:val="24"/>
        </w:rPr>
        <w:t>o</w:t>
      </w:r>
      <w:r w:rsidRPr="00D26D21">
        <w:rPr>
          <w:rFonts w:ascii="Palatino Linotype" w:hAnsi="Palatino Linotype"/>
          <w:sz w:val="24"/>
          <w:szCs w:val="24"/>
        </w:rPr>
        <w:t xml:space="preserve">st defiling things a person could possibly do (Catullus, </w:t>
      </w:r>
      <w:r w:rsidRPr="00D26D21">
        <w:rPr>
          <w:rFonts w:ascii="Palatino Linotype" w:hAnsi="Palatino Linotype"/>
          <w:i/>
          <w:iCs/>
          <w:sz w:val="24"/>
          <w:szCs w:val="24"/>
        </w:rPr>
        <w:t xml:space="preserve">Poem </w:t>
      </w:r>
      <w:r w:rsidRPr="00D26D21">
        <w:rPr>
          <w:rFonts w:ascii="Palatino Linotype" w:hAnsi="Palatino Linotype"/>
          <w:sz w:val="24"/>
          <w:szCs w:val="24"/>
        </w:rPr>
        <w:t>88).</w:t>
      </w:r>
    </w:p>
    <w:p w14:paraId="1F2BEF2E" w14:textId="3CA33A64" w:rsidR="003354F6" w:rsidRPr="00D26D21" w:rsidRDefault="003354F6" w:rsidP="003354F6">
      <w:pPr>
        <w:rPr>
          <w:rFonts w:ascii="Palatino Linotype" w:hAnsi="Palatino Linotype"/>
          <w:sz w:val="24"/>
          <w:szCs w:val="24"/>
        </w:rPr>
      </w:pPr>
      <w:r w:rsidRPr="00D26D21">
        <w:rPr>
          <w:rFonts w:ascii="Palatino Linotype" w:hAnsi="Palatino Linotype"/>
          <w:sz w:val="24"/>
          <w:szCs w:val="24"/>
        </w:rPr>
        <w:t>Jewish Sensibilities about Marrying a Stepmother</w:t>
      </w:r>
    </w:p>
    <w:p w14:paraId="1115883D" w14:textId="64CC6110" w:rsidR="003354F6" w:rsidRPr="00D26D21" w:rsidRDefault="003354F6" w:rsidP="003354F6">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Leviticus 20:11 (see also Lev 18:8; </w:t>
      </w:r>
      <w:proofErr w:type="spellStart"/>
      <w:r w:rsidRPr="00D26D21">
        <w:rPr>
          <w:rFonts w:ascii="Palatino Linotype" w:hAnsi="Palatino Linotype"/>
          <w:sz w:val="24"/>
          <w:szCs w:val="24"/>
        </w:rPr>
        <w:t>Deut</w:t>
      </w:r>
      <w:proofErr w:type="spellEnd"/>
      <w:r w:rsidRPr="00D26D21">
        <w:rPr>
          <w:rFonts w:ascii="Palatino Linotype" w:hAnsi="Palatino Linotype"/>
          <w:sz w:val="24"/>
          <w:szCs w:val="24"/>
        </w:rPr>
        <w:t xml:space="preserve"> 27:20) </w:t>
      </w:r>
      <w:r w:rsidR="00412E76">
        <w:rPr>
          <w:rFonts w:ascii="Palatino Linotype" w:hAnsi="Palatino Linotype"/>
          <w:sz w:val="24"/>
          <w:szCs w:val="24"/>
        </w:rPr>
        <w:t xml:space="preserve">  </w:t>
      </w:r>
      <w:r w:rsidRPr="00D26D21">
        <w:rPr>
          <w:rFonts w:ascii="Palatino Linotype" w:hAnsi="Palatino Linotype"/>
          <w:sz w:val="24"/>
          <w:szCs w:val="24"/>
        </w:rPr>
        <w:t>The Torah regarded lying with one’s father’s wife as a capital crime.</w:t>
      </w:r>
    </w:p>
    <w:p w14:paraId="5FF29464" w14:textId="1B35B7CC" w:rsidR="003354F6" w:rsidRPr="00D26D21" w:rsidRDefault="003354F6" w:rsidP="003354F6">
      <w:pPr>
        <w:pStyle w:val="ListParagraph"/>
        <w:numPr>
          <w:ilvl w:val="0"/>
          <w:numId w:val="13"/>
        </w:numPr>
        <w:rPr>
          <w:rFonts w:ascii="Palatino Linotype" w:hAnsi="Palatino Linotype"/>
          <w:sz w:val="24"/>
          <w:szCs w:val="24"/>
        </w:rPr>
      </w:pPr>
      <w:r w:rsidRPr="00D26D21">
        <w:rPr>
          <w:rFonts w:ascii="Palatino Linotype" w:hAnsi="Palatino Linotype"/>
          <w:sz w:val="24"/>
          <w:szCs w:val="24"/>
        </w:rPr>
        <w:t>Mishnah, Sanhedrin 7.4</w:t>
      </w:r>
      <w:r w:rsidRPr="00D26D21">
        <w:rPr>
          <w:rFonts w:ascii="Palatino Linotype" w:hAnsi="Palatino Linotype"/>
          <w:sz w:val="24"/>
          <w:szCs w:val="24"/>
        </w:rPr>
        <w:br/>
        <w:t>“These are [the felons] who are put to death by stoning: He who has sexual relations with (1) his mother, (2) with the wife of his father, (3) with his daughter-in-law, (4) with a male, and (5) with a cow</w:t>
      </w:r>
      <w:r w:rsidR="00412E76">
        <w:rPr>
          <w:rFonts w:ascii="Palatino Linotype" w:hAnsi="Palatino Linotype"/>
          <w:sz w:val="24"/>
          <w:szCs w:val="24"/>
        </w:rPr>
        <w:t>.</w:t>
      </w:r>
      <w:proofErr w:type="gramStart"/>
      <w:r w:rsidRPr="00D26D21">
        <w:rPr>
          <w:rFonts w:ascii="Palatino Linotype" w:hAnsi="Palatino Linotype"/>
          <w:sz w:val="24"/>
          <w:szCs w:val="24"/>
        </w:rPr>
        <w:t>…“</w:t>
      </w:r>
      <w:proofErr w:type="gramEnd"/>
      <w:r w:rsidRPr="00D26D21">
        <w:rPr>
          <w:rStyle w:val="FootnoteReference"/>
          <w:rFonts w:ascii="Palatino Linotype" w:hAnsi="Palatino Linotype"/>
          <w:sz w:val="24"/>
          <w:szCs w:val="24"/>
        </w:rPr>
        <w:footnoteReference w:id="5"/>
      </w:r>
    </w:p>
    <w:p w14:paraId="76FA8D4D" w14:textId="71DCE07A" w:rsidR="003354F6" w:rsidRPr="00D26D21" w:rsidRDefault="003354F6" w:rsidP="003354F6">
      <w:pPr>
        <w:rPr>
          <w:rFonts w:ascii="Palatino Linotype" w:hAnsi="Palatino Linotype"/>
          <w:sz w:val="24"/>
          <w:szCs w:val="24"/>
        </w:rPr>
      </w:pPr>
      <w:r w:rsidRPr="00D26D21">
        <w:rPr>
          <w:rFonts w:ascii="Palatino Linotype" w:hAnsi="Palatino Linotype"/>
          <w:sz w:val="24"/>
          <w:szCs w:val="24"/>
        </w:rPr>
        <w:t xml:space="preserve">Chow’s </w:t>
      </w:r>
      <w:r w:rsidR="008C42B4" w:rsidRPr="00D26D21">
        <w:rPr>
          <w:rFonts w:ascii="Palatino Linotype" w:hAnsi="Palatino Linotype"/>
          <w:sz w:val="24"/>
          <w:szCs w:val="24"/>
        </w:rPr>
        <w:t>Dowry Theory</w:t>
      </w:r>
    </w:p>
    <w:p w14:paraId="2DE67D4C" w14:textId="2C072F67" w:rsidR="008C42B4" w:rsidRPr="00D26D21" w:rsidRDefault="008C42B4" w:rsidP="008C42B4">
      <w:pPr>
        <w:pStyle w:val="ListParagraph"/>
        <w:numPr>
          <w:ilvl w:val="0"/>
          <w:numId w:val="13"/>
        </w:numPr>
        <w:rPr>
          <w:rFonts w:ascii="Palatino Linotype" w:hAnsi="Palatino Linotype"/>
          <w:sz w:val="24"/>
          <w:szCs w:val="24"/>
          <w:lang w:bidi="he-IL"/>
        </w:rPr>
      </w:pPr>
      <w:r w:rsidRPr="00D26D21">
        <w:rPr>
          <w:rFonts w:ascii="Palatino Linotype" w:hAnsi="Palatino Linotype"/>
          <w:sz w:val="24"/>
          <w:szCs w:val="24"/>
          <w:lang w:bidi="he-IL"/>
        </w:rPr>
        <w:t>Why would someone marry his father’s wife? If his father was deceased, the concern could be over losing the stepmother’s dowry.</w:t>
      </w:r>
    </w:p>
    <w:p w14:paraId="17ACA019" w14:textId="76D8D663" w:rsidR="008C42B4" w:rsidRPr="00D26D21" w:rsidRDefault="008C42B4" w:rsidP="008C42B4">
      <w:pPr>
        <w:pStyle w:val="ListParagraph"/>
        <w:numPr>
          <w:ilvl w:val="0"/>
          <w:numId w:val="13"/>
        </w:numPr>
        <w:rPr>
          <w:rFonts w:ascii="Palatino Linotype" w:hAnsi="Palatino Linotype"/>
          <w:sz w:val="24"/>
          <w:szCs w:val="24"/>
          <w:lang w:bidi="he-IL"/>
        </w:rPr>
      </w:pPr>
      <w:r w:rsidRPr="00D26D21">
        <w:rPr>
          <w:rFonts w:ascii="Palatino Linotype" w:hAnsi="Palatino Linotype"/>
          <w:sz w:val="24"/>
          <w:szCs w:val="24"/>
          <w:lang w:bidi="he-IL"/>
        </w:rPr>
        <w:t xml:space="preserve">John Chow: "[I]n Paul's day, material interests, which might include money and power, rather than sex and affection seem to have a bigger role to play in the establishment of a marital relationship. Indeed, for the sake of keeping wealth, men in those days could do some strange things. The satirists tell us that there were husbands who were willing to condone their wives' acts of adultery in return for the control of their dowries.  …For on the one hand, through marriage, he would not have to pay higher taxes. On the other hand, he would immediately be able to have total control over his share of the inheritance from </w:t>
      </w:r>
      <w:r w:rsidRPr="00D26D21">
        <w:rPr>
          <w:rFonts w:ascii="Palatino Linotype" w:hAnsi="Palatino Linotype"/>
          <w:sz w:val="24"/>
          <w:szCs w:val="24"/>
          <w:lang w:bidi="he-IL"/>
        </w:rPr>
        <w:lastRenderedPageBreak/>
        <w:t>the father who probably was dead at that time. Better still, through marrying his stepmother he might have been able to preserve in his house his stepmother's dowry to his father and might even have access to the possessions of his wife's family."</w:t>
      </w:r>
      <w:r w:rsidRPr="00D26D21">
        <w:rPr>
          <w:rFonts w:ascii="Palatino Linotype" w:hAnsi="Palatino Linotype"/>
          <w:sz w:val="24"/>
          <w:szCs w:val="24"/>
          <w:vertAlign w:val="superscript"/>
          <w:lang w:bidi="he-IL"/>
        </w:rPr>
        <w:footnoteReference w:id="6"/>
      </w:r>
    </w:p>
    <w:p w14:paraId="26BC06F8" w14:textId="59243A60" w:rsidR="003354F6" w:rsidRPr="00D26D21" w:rsidRDefault="008C42B4" w:rsidP="003354F6">
      <w:pPr>
        <w:rPr>
          <w:rFonts w:ascii="Palatino Linotype" w:hAnsi="Palatino Linotype"/>
          <w:sz w:val="24"/>
          <w:szCs w:val="24"/>
        </w:rPr>
      </w:pPr>
      <w:r w:rsidRPr="00D26D21">
        <w:rPr>
          <w:rFonts w:ascii="Palatino Linotype" w:hAnsi="Palatino Linotype"/>
          <w:sz w:val="24"/>
          <w:szCs w:val="24"/>
        </w:rPr>
        <w:t>Hand Him over to Satan</w:t>
      </w:r>
    </w:p>
    <w:p w14:paraId="04ED297B" w14:textId="6085A96C" w:rsidR="008C42B4" w:rsidRPr="00D26D21" w:rsidRDefault="00CF5ED3" w:rsidP="008C42B4">
      <w:pPr>
        <w:pStyle w:val="ListParagraph"/>
        <w:numPr>
          <w:ilvl w:val="0"/>
          <w:numId w:val="13"/>
        </w:numPr>
        <w:rPr>
          <w:rFonts w:ascii="Palatino Linotype" w:hAnsi="Palatino Linotype"/>
          <w:sz w:val="24"/>
          <w:szCs w:val="24"/>
        </w:rPr>
      </w:pPr>
      <w:r w:rsidRPr="00D26D21">
        <w:rPr>
          <w:rFonts w:ascii="Palatino Linotype" w:hAnsi="Palatino Linotype"/>
          <w:sz w:val="24"/>
          <w:szCs w:val="24"/>
        </w:rPr>
        <w:t>1 Cor</w:t>
      </w:r>
      <w:r w:rsidR="003F31EC" w:rsidRPr="00D26D21">
        <w:rPr>
          <w:rFonts w:ascii="Palatino Linotype" w:hAnsi="Palatino Linotype"/>
          <w:sz w:val="24"/>
          <w:szCs w:val="24"/>
        </w:rPr>
        <w:t>inthians</w:t>
      </w:r>
      <w:r w:rsidRPr="00D26D21">
        <w:rPr>
          <w:rFonts w:ascii="Palatino Linotype" w:hAnsi="Palatino Linotype"/>
          <w:sz w:val="24"/>
          <w:szCs w:val="24"/>
        </w:rPr>
        <w:t xml:space="preserve"> 5:3-5</w:t>
      </w:r>
      <w:r w:rsidR="00412E76">
        <w:rPr>
          <w:rFonts w:ascii="Palatino Linotype" w:hAnsi="Palatino Linotype"/>
          <w:sz w:val="24"/>
          <w:szCs w:val="24"/>
        </w:rPr>
        <w:t xml:space="preserve">  </w:t>
      </w:r>
      <w:r w:rsidR="0036571C" w:rsidRPr="00D26D21">
        <w:rPr>
          <w:rFonts w:ascii="Palatino Linotype" w:hAnsi="Palatino Linotype"/>
          <w:sz w:val="24"/>
          <w:szCs w:val="24"/>
        </w:rPr>
        <w:t xml:space="preserve"> </w:t>
      </w:r>
      <w:r w:rsidR="000337D5" w:rsidRPr="00D26D21">
        <w:rPr>
          <w:rFonts w:ascii="Palatino Linotype" w:hAnsi="Palatino Linotype"/>
          <w:sz w:val="24"/>
          <w:szCs w:val="24"/>
        </w:rPr>
        <w:t>Paul</w:t>
      </w:r>
      <w:r w:rsidR="00412E76">
        <w:rPr>
          <w:rFonts w:ascii="Palatino Linotype" w:hAnsi="Palatino Linotype"/>
          <w:sz w:val="24"/>
          <w:szCs w:val="24"/>
        </w:rPr>
        <w:t xml:space="preserve"> has</w:t>
      </w:r>
      <w:r w:rsidR="000337D5" w:rsidRPr="00D26D21">
        <w:rPr>
          <w:rFonts w:ascii="Palatino Linotype" w:hAnsi="Palatino Linotype"/>
          <w:sz w:val="24"/>
          <w:szCs w:val="24"/>
        </w:rPr>
        <w:t xml:space="preserve"> </w:t>
      </w:r>
      <w:r w:rsidR="00FA6A0E">
        <w:rPr>
          <w:rFonts w:ascii="Palatino Linotype" w:hAnsi="Palatino Linotype"/>
          <w:sz w:val="24"/>
          <w:szCs w:val="24"/>
        </w:rPr>
        <w:t xml:space="preserve">told them to </w:t>
      </w:r>
      <w:r w:rsidR="003F31EC" w:rsidRPr="00D26D21">
        <w:rPr>
          <w:rFonts w:ascii="Palatino Linotype" w:hAnsi="Palatino Linotype"/>
          <w:sz w:val="24"/>
          <w:szCs w:val="24"/>
        </w:rPr>
        <w:t>cast the man out of the church.</w:t>
      </w:r>
    </w:p>
    <w:p w14:paraId="75F65C7A" w14:textId="0DD9B513" w:rsidR="008274D5" w:rsidRPr="00D26D21" w:rsidRDefault="00794838" w:rsidP="008274D5">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Anthony </w:t>
      </w:r>
      <w:proofErr w:type="spellStart"/>
      <w:r w:rsidR="008274D5" w:rsidRPr="00D26D21">
        <w:rPr>
          <w:rFonts w:ascii="Palatino Linotype" w:hAnsi="Palatino Linotype"/>
          <w:sz w:val="24"/>
          <w:szCs w:val="24"/>
        </w:rPr>
        <w:t>Thiselton</w:t>
      </w:r>
      <w:proofErr w:type="spellEnd"/>
      <w:r w:rsidR="008274D5" w:rsidRPr="00D26D21">
        <w:rPr>
          <w:rFonts w:ascii="Palatino Linotype" w:hAnsi="Palatino Linotype"/>
          <w:sz w:val="24"/>
          <w:szCs w:val="24"/>
        </w:rPr>
        <w:t>: “[F]or the offender himself sudden removal from a platform of adulation to total isolation from the community would have a sobering if not devastating effect.”</w:t>
      </w:r>
      <w:r w:rsidR="008274D5" w:rsidRPr="00D26D21">
        <w:rPr>
          <w:rFonts w:ascii="Palatino Linotype" w:hAnsi="Palatino Linotype"/>
          <w:sz w:val="24"/>
          <w:szCs w:val="24"/>
          <w:vertAlign w:val="superscript"/>
        </w:rPr>
        <w:footnoteReference w:id="7"/>
      </w:r>
    </w:p>
    <w:p w14:paraId="4795437A" w14:textId="53189005" w:rsidR="00BB3A55" w:rsidRPr="00D26D21" w:rsidRDefault="00BB3A55" w:rsidP="00BB3A55">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James South: “[It means] putting him outside the sphere of God’s protection within the </w:t>
      </w:r>
      <w:r w:rsidR="00412E76" w:rsidRPr="00D26D21">
        <w:rPr>
          <w:rFonts w:ascii="Palatino Linotype" w:hAnsi="Palatino Linotype"/>
          <w:sz w:val="24"/>
          <w:szCs w:val="24"/>
        </w:rPr>
        <w:t>church and</w:t>
      </w:r>
      <w:r w:rsidRPr="00D26D21">
        <w:rPr>
          <w:rFonts w:ascii="Palatino Linotype" w:hAnsi="Palatino Linotype"/>
          <w:sz w:val="24"/>
          <w:szCs w:val="24"/>
        </w:rPr>
        <w:t xml:space="preserve"> leaving him exposed to the satanic forces of evil in hope that the experience would cause him to repent and return to the fellowship of the church. The ‘flesh’ to be destroyed is thus not his physical body.”</w:t>
      </w:r>
      <w:r w:rsidRPr="00D26D21">
        <w:rPr>
          <w:rFonts w:ascii="Palatino Linotype" w:hAnsi="Palatino Linotype"/>
          <w:sz w:val="24"/>
          <w:szCs w:val="24"/>
          <w:vertAlign w:val="superscript"/>
        </w:rPr>
        <w:footnoteReference w:id="8"/>
      </w:r>
    </w:p>
    <w:p w14:paraId="34D5D2A8" w14:textId="45C46AEE" w:rsidR="003F31EC" w:rsidRPr="00D26D21" w:rsidRDefault="003F31EC" w:rsidP="00BB3A55">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1 Corinthians 5:6-8 </w:t>
      </w:r>
      <w:r w:rsidR="00412E76">
        <w:rPr>
          <w:rFonts w:ascii="Palatino Linotype" w:hAnsi="Palatino Linotype"/>
          <w:sz w:val="24"/>
          <w:szCs w:val="24"/>
        </w:rPr>
        <w:t xml:space="preserve">  </w:t>
      </w:r>
      <w:r w:rsidRPr="00D26D21">
        <w:rPr>
          <w:rFonts w:ascii="Palatino Linotype" w:hAnsi="Palatino Linotype"/>
          <w:sz w:val="24"/>
          <w:szCs w:val="24"/>
        </w:rPr>
        <w:t>Sin is contagious.</w:t>
      </w:r>
    </w:p>
    <w:p w14:paraId="67A0718B" w14:textId="5D84886B" w:rsidR="003F31EC" w:rsidRPr="00D26D21" w:rsidRDefault="003F31EC" w:rsidP="003F31EC">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Dale Martin: “Paul is not afraid that social contact between a Christina and a non-Christian will pollute the church; but he does think that the disguised presence within the church of a representative from the outside, from the cosmos that </w:t>
      </w:r>
      <w:r w:rsidRPr="00D26D21">
        <w:rPr>
          <w:rFonts w:ascii="Palatino Linotype" w:hAnsi="Palatino Linotype"/>
          <w:i/>
          <w:iCs/>
          <w:sz w:val="24"/>
          <w:szCs w:val="24"/>
        </w:rPr>
        <w:t xml:space="preserve">should </w:t>
      </w:r>
      <w:r w:rsidRPr="00D26D21">
        <w:rPr>
          <w:rFonts w:ascii="Palatino Linotype" w:hAnsi="Palatino Linotype"/>
          <w:sz w:val="24"/>
          <w:szCs w:val="24"/>
        </w:rPr>
        <w:t>be “out there,” threatens the whole body. … In that case, the only remedy is violent expulsion of the polluting agent, which will result in the return of the body to a clean, healthy state.”</w:t>
      </w:r>
      <w:r w:rsidRPr="00D26D21">
        <w:rPr>
          <w:rFonts w:ascii="Palatino Linotype" w:hAnsi="Palatino Linotype"/>
          <w:sz w:val="24"/>
          <w:szCs w:val="24"/>
          <w:vertAlign w:val="superscript"/>
        </w:rPr>
        <w:footnoteReference w:id="9"/>
      </w:r>
      <w:r w:rsidRPr="00D26D21">
        <w:rPr>
          <w:rFonts w:ascii="Palatino Linotype" w:hAnsi="Palatino Linotype"/>
          <w:sz w:val="24"/>
          <w:szCs w:val="24"/>
        </w:rPr>
        <w:t xml:space="preserve">  </w:t>
      </w:r>
    </w:p>
    <w:p w14:paraId="6E1D50B0" w14:textId="77E20024" w:rsidR="003F31EC" w:rsidRPr="00D26D21" w:rsidRDefault="003F31EC" w:rsidP="003F31EC">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1 Corinthians 5:9-12 </w:t>
      </w:r>
      <w:r w:rsidR="00412E76">
        <w:rPr>
          <w:rFonts w:ascii="Palatino Linotype" w:hAnsi="Palatino Linotype"/>
          <w:sz w:val="24"/>
          <w:szCs w:val="24"/>
        </w:rPr>
        <w:t xml:space="preserve">  </w:t>
      </w:r>
      <w:r w:rsidRPr="00D26D21">
        <w:rPr>
          <w:rFonts w:ascii="Palatino Linotype" w:hAnsi="Palatino Linotype"/>
          <w:sz w:val="24"/>
          <w:szCs w:val="24"/>
        </w:rPr>
        <w:t>Paul didn’t want the</w:t>
      </w:r>
      <w:r w:rsidR="00AD63D5">
        <w:rPr>
          <w:rFonts w:ascii="Palatino Linotype" w:hAnsi="Palatino Linotype"/>
          <w:sz w:val="24"/>
          <w:szCs w:val="24"/>
        </w:rPr>
        <w:t xml:space="preserve">m </w:t>
      </w:r>
      <w:r w:rsidRPr="00D26D21">
        <w:rPr>
          <w:rFonts w:ascii="Palatino Linotype" w:hAnsi="Palatino Linotype"/>
          <w:sz w:val="24"/>
          <w:szCs w:val="24"/>
        </w:rPr>
        <w:t xml:space="preserve">to </w:t>
      </w:r>
      <w:r w:rsidR="00412E76" w:rsidRPr="00D26D21">
        <w:rPr>
          <w:rFonts w:ascii="Palatino Linotype" w:hAnsi="Palatino Linotype"/>
          <w:sz w:val="24"/>
          <w:szCs w:val="24"/>
        </w:rPr>
        <w:t>isolate themselves</w:t>
      </w:r>
      <w:r w:rsidRPr="00D26D21">
        <w:rPr>
          <w:rFonts w:ascii="Palatino Linotype" w:hAnsi="Palatino Linotype"/>
          <w:sz w:val="24"/>
          <w:szCs w:val="24"/>
        </w:rPr>
        <w:t xml:space="preserve"> from their unbelieving neighbors and coworkers. Rather, he wanted them to hold the line within their own community, among those who had already become believers.</w:t>
      </w:r>
    </w:p>
    <w:p w14:paraId="0B8C8584" w14:textId="4C847903" w:rsidR="003F31EC" w:rsidRPr="00D26D21" w:rsidRDefault="003F31EC" w:rsidP="003F31EC">
      <w:pPr>
        <w:rPr>
          <w:rFonts w:ascii="Palatino Linotype" w:hAnsi="Palatino Linotype"/>
          <w:sz w:val="24"/>
          <w:szCs w:val="24"/>
        </w:rPr>
      </w:pPr>
      <w:r w:rsidRPr="00D26D21">
        <w:rPr>
          <w:rFonts w:ascii="Palatino Linotype" w:hAnsi="Palatino Linotype"/>
          <w:sz w:val="24"/>
          <w:szCs w:val="24"/>
        </w:rPr>
        <w:t>Prostitution in the Roman Empire</w:t>
      </w:r>
    </w:p>
    <w:p w14:paraId="0E9710CE" w14:textId="222F8B47" w:rsidR="003F31EC" w:rsidRPr="00D26D21" w:rsidRDefault="003F31EC" w:rsidP="004367BF">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Sex for pay was a legal </w:t>
      </w:r>
      <w:r w:rsidR="000B7653" w:rsidRPr="00D26D21">
        <w:rPr>
          <w:rFonts w:ascii="Palatino Linotype" w:hAnsi="Palatino Linotype"/>
          <w:sz w:val="24"/>
          <w:szCs w:val="24"/>
        </w:rPr>
        <w:t xml:space="preserve">though scurrilous </w:t>
      </w:r>
      <w:r w:rsidRPr="00D26D21">
        <w:rPr>
          <w:rFonts w:ascii="Palatino Linotype" w:hAnsi="Palatino Linotype"/>
          <w:sz w:val="24"/>
          <w:szCs w:val="24"/>
        </w:rPr>
        <w:t xml:space="preserve">profession in the </w:t>
      </w:r>
      <w:r w:rsidR="004367BF" w:rsidRPr="00D26D21">
        <w:rPr>
          <w:rFonts w:ascii="Palatino Linotype" w:hAnsi="Palatino Linotype"/>
          <w:sz w:val="24"/>
          <w:szCs w:val="24"/>
        </w:rPr>
        <w:t>Roman E</w:t>
      </w:r>
      <w:r w:rsidRPr="00D26D21">
        <w:rPr>
          <w:rFonts w:ascii="Palatino Linotype" w:hAnsi="Palatino Linotype"/>
          <w:sz w:val="24"/>
          <w:szCs w:val="24"/>
        </w:rPr>
        <w:t xml:space="preserve">mpire. </w:t>
      </w:r>
    </w:p>
    <w:p w14:paraId="7DD595EB" w14:textId="36359E4E" w:rsidR="00A50A1E" w:rsidRPr="00D26D21" w:rsidRDefault="00A50A1E" w:rsidP="00A50A1E">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Horace: “The sight of a certain aristocrat leaving a brothel drew a famous remark from Cato: ‘Keep up the good work!’ he said. ‘Whenever a young man’s veins are swollen by accursed </w:t>
      </w:r>
      <w:r w:rsidR="00412E76" w:rsidRPr="00D26D21">
        <w:rPr>
          <w:rFonts w:ascii="Palatino Linotype" w:hAnsi="Palatino Linotype"/>
          <w:sz w:val="24"/>
          <w:szCs w:val="24"/>
        </w:rPr>
        <w:t>lust,</w:t>
      </w:r>
      <w:r w:rsidRPr="00D26D21">
        <w:rPr>
          <w:rFonts w:ascii="Palatino Linotype" w:hAnsi="Palatino Linotype"/>
          <w:sz w:val="24"/>
          <w:szCs w:val="24"/>
        </w:rPr>
        <w:t xml:space="preserve"> he’s right to go down to that sort of place instead of grinding other men’s wives.’” (Horace, </w:t>
      </w:r>
      <w:r w:rsidRPr="00D26D21">
        <w:rPr>
          <w:rFonts w:ascii="Palatino Linotype" w:hAnsi="Palatino Linotype"/>
          <w:i/>
          <w:iCs/>
          <w:sz w:val="24"/>
          <w:szCs w:val="24"/>
        </w:rPr>
        <w:t xml:space="preserve">Satire </w:t>
      </w:r>
      <w:r w:rsidRPr="00D26D21">
        <w:rPr>
          <w:rFonts w:ascii="Palatino Linotype" w:hAnsi="Palatino Linotype"/>
          <w:sz w:val="24"/>
          <w:szCs w:val="24"/>
        </w:rPr>
        <w:t>1.2.31-34)</w:t>
      </w:r>
      <w:r w:rsidRPr="00D26D21">
        <w:rPr>
          <w:rStyle w:val="FootnoteReference"/>
          <w:rFonts w:ascii="Palatino Linotype" w:hAnsi="Palatino Linotype"/>
          <w:sz w:val="24"/>
          <w:szCs w:val="24"/>
        </w:rPr>
        <w:footnoteReference w:id="10"/>
      </w:r>
    </w:p>
    <w:p w14:paraId="05E55415" w14:textId="77777777" w:rsidR="00A50A1E" w:rsidRPr="00D26D21" w:rsidRDefault="00A50A1E" w:rsidP="00A50A1E">
      <w:pPr>
        <w:pStyle w:val="ListParagraph"/>
        <w:numPr>
          <w:ilvl w:val="0"/>
          <w:numId w:val="13"/>
        </w:numPr>
        <w:rPr>
          <w:rFonts w:ascii="Palatino Linotype" w:hAnsi="Palatino Linotype"/>
          <w:sz w:val="24"/>
          <w:szCs w:val="24"/>
        </w:rPr>
      </w:pPr>
      <w:r w:rsidRPr="00D26D21">
        <w:rPr>
          <w:rFonts w:ascii="Palatino Linotype" w:hAnsi="Palatino Linotype"/>
          <w:sz w:val="24"/>
          <w:szCs w:val="24"/>
        </w:rPr>
        <w:lastRenderedPageBreak/>
        <w:t xml:space="preserve">Marguerite Johnson: “In the Roman world, the legal practice of sexual </w:t>
      </w:r>
      <w:proofErr w:type="spellStart"/>
      <w:r w:rsidRPr="00D26D21">
        <w:rPr>
          <w:rFonts w:ascii="Palatino Linotype" w:hAnsi="Palatino Linotype"/>
          <w:sz w:val="24"/>
          <w:szCs w:val="24"/>
        </w:rPr>
        <w:t>labour</w:t>
      </w:r>
      <w:proofErr w:type="spellEnd"/>
      <w:r w:rsidRPr="00D26D21">
        <w:rPr>
          <w:rFonts w:ascii="Palatino Linotype" w:hAnsi="Palatino Linotype"/>
          <w:sz w:val="24"/>
          <w:szCs w:val="24"/>
        </w:rPr>
        <w:t xml:space="preserve"> was placed under the jurisdiction of the Curule Aediles; workers were required to register and, during the reign of Caligula (37-41), to pay tax. … [T]he brothels ensured there would be less likelihood of adultery. In other words, commercial sex ensured that wives were safe from other men. The perceived role of the worker as some kind of societal safety valve, a requirement for the maintenance of a calm home environment, may also be witnessed in the more graphic sources … [W]</w:t>
      </w:r>
      <w:proofErr w:type="spellStart"/>
      <w:r w:rsidRPr="00D26D21">
        <w:rPr>
          <w:rFonts w:ascii="Palatino Linotype" w:hAnsi="Palatino Linotype"/>
          <w:sz w:val="24"/>
          <w:szCs w:val="24"/>
        </w:rPr>
        <w:t>orkers</w:t>
      </w:r>
      <w:proofErr w:type="spellEnd"/>
      <w:r w:rsidRPr="00D26D21">
        <w:rPr>
          <w:rFonts w:ascii="Palatino Linotype" w:hAnsi="Palatino Linotype"/>
          <w:sz w:val="24"/>
          <w:szCs w:val="24"/>
        </w:rPr>
        <w:t xml:space="preserve"> of both sexes were there to provide services one would not ask of a wife. These workers were, nevertheless, despised and ridiculed.”</w:t>
      </w:r>
      <w:r w:rsidRPr="00D26D21">
        <w:rPr>
          <w:rStyle w:val="FootnoteReference"/>
          <w:rFonts w:ascii="Palatino Linotype" w:hAnsi="Palatino Linotype"/>
          <w:sz w:val="24"/>
          <w:szCs w:val="24"/>
        </w:rPr>
        <w:footnoteReference w:id="11"/>
      </w:r>
    </w:p>
    <w:p w14:paraId="6EEB18D5" w14:textId="3CB68440" w:rsidR="00C90A38" w:rsidRPr="00D26D21" w:rsidRDefault="00C90A38" w:rsidP="00C90A38">
      <w:pPr>
        <w:rPr>
          <w:rFonts w:ascii="Palatino Linotype" w:hAnsi="Palatino Linotype"/>
          <w:sz w:val="24"/>
          <w:szCs w:val="24"/>
        </w:rPr>
      </w:pPr>
      <w:r w:rsidRPr="00D26D21">
        <w:rPr>
          <w:rFonts w:ascii="Palatino Linotype" w:hAnsi="Palatino Linotype"/>
          <w:sz w:val="24"/>
          <w:szCs w:val="24"/>
        </w:rPr>
        <w:t>Corinthian Slogans</w:t>
      </w:r>
    </w:p>
    <w:p w14:paraId="62C18CFD" w14:textId="5440F24F" w:rsidR="00A50A1E" w:rsidRPr="00D26D21" w:rsidRDefault="00C90A38" w:rsidP="003F31EC">
      <w:pPr>
        <w:pStyle w:val="ListParagraph"/>
        <w:numPr>
          <w:ilvl w:val="0"/>
          <w:numId w:val="13"/>
        </w:numPr>
        <w:rPr>
          <w:rFonts w:ascii="Palatino Linotype" w:hAnsi="Palatino Linotype"/>
          <w:sz w:val="24"/>
          <w:szCs w:val="24"/>
        </w:rPr>
      </w:pPr>
      <w:r w:rsidRPr="00D26D21">
        <w:rPr>
          <w:rFonts w:ascii="Palatino Linotype" w:hAnsi="Palatino Linotype"/>
          <w:sz w:val="24"/>
          <w:szCs w:val="24"/>
        </w:rPr>
        <w:t>1 Corinthians 6:12-15</w:t>
      </w:r>
      <w:r w:rsidR="004E2382">
        <w:rPr>
          <w:rFonts w:ascii="Palatino Linotype" w:hAnsi="Palatino Linotype"/>
          <w:sz w:val="24"/>
          <w:szCs w:val="24"/>
        </w:rPr>
        <w:t xml:space="preserve">  </w:t>
      </w:r>
      <w:r w:rsidRPr="00D26D21">
        <w:rPr>
          <w:rFonts w:ascii="Palatino Linotype" w:hAnsi="Palatino Linotype"/>
          <w:sz w:val="24"/>
          <w:szCs w:val="24"/>
        </w:rPr>
        <w:t xml:space="preserve"> Depending on your translation, some of these words will be in quotation marks, indicating that they were what the Corinthians were saying, not the instruction of Paul.</w:t>
      </w:r>
    </w:p>
    <w:p w14:paraId="40E13B0E" w14:textId="7F42FFF1" w:rsidR="00C90A38" w:rsidRPr="00D26D21" w:rsidRDefault="00C90A38" w:rsidP="00C90A38">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David Gill: “The Roman love of food is reflected in the cookbooks that have survived from antiquity, such as that attributed to </w:t>
      </w:r>
      <w:proofErr w:type="spellStart"/>
      <w:r w:rsidRPr="00D26D21">
        <w:rPr>
          <w:rFonts w:ascii="Palatino Linotype" w:hAnsi="Palatino Linotype"/>
          <w:sz w:val="24"/>
          <w:szCs w:val="24"/>
        </w:rPr>
        <w:t>Apicius</w:t>
      </w:r>
      <w:proofErr w:type="spellEnd"/>
      <w:r w:rsidRPr="00D26D21">
        <w:rPr>
          <w:rFonts w:ascii="Palatino Linotype" w:hAnsi="Palatino Linotype"/>
          <w:sz w:val="24"/>
          <w:szCs w:val="24"/>
        </w:rPr>
        <w:t>. His recipes include, “Numidian chicken,” “rabbit with fruit sauce,” “liver sausage,” “anchovy delight without the anchovies,” and “sweet and sour pork.””</w:t>
      </w:r>
      <w:r w:rsidRPr="00D26D21">
        <w:rPr>
          <w:rFonts w:ascii="Palatino Linotype" w:hAnsi="Palatino Linotype"/>
          <w:sz w:val="24"/>
          <w:szCs w:val="24"/>
          <w:vertAlign w:val="superscript"/>
        </w:rPr>
        <w:footnoteReference w:id="12"/>
      </w:r>
    </w:p>
    <w:p w14:paraId="14026979" w14:textId="5A9CABEC" w:rsidR="00A83122" w:rsidRPr="00D26D21" w:rsidRDefault="00A83122" w:rsidP="00A83122">
      <w:pPr>
        <w:pStyle w:val="ListParagraph"/>
        <w:numPr>
          <w:ilvl w:val="0"/>
          <w:numId w:val="13"/>
        </w:numPr>
        <w:rPr>
          <w:rFonts w:ascii="Palatino Linotype" w:hAnsi="Palatino Linotype"/>
          <w:sz w:val="24"/>
          <w:szCs w:val="24"/>
        </w:rPr>
      </w:pPr>
      <w:r w:rsidRPr="00D26D21">
        <w:rPr>
          <w:rFonts w:ascii="Palatino Linotype" w:hAnsi="Palatino Linotype"/>
          <w:sz w:val="24"/>
          <w:szCs w:val="24"/>
        </w:rPr>
        <w:t>Jay E. Smith: “[T]he notion that the body was morally irrelevant—that sin was an internal matter of motives and intentions and not an external matter related to the body—was commonplace. …It was in this environment that the slogan ‘Every sin that a person commits is outside the body,’ with its belief that bodily actions were morally irrelevant, could come to expression.”</w:t>
      </w:r>
      <w:r w:rsidRPr="00D26D21">
        <w:rPr>
          <w:rFonts w:ascii="Palatino Linotype" w:hAnsi="Palatino Linotype"/>
          <w:sz w:val="24"/>
          <w:szCs w:val="24"/>
          <w:vertAlign w:val="superscript"/>
        </w:rPr>
        <w:footnoteReference w:id="13"/>
      </w:r>
    </w:p>
    <w:p w14:paraId="6A65CFB0" w14:textId="07A7BBDD" w:rsidR="00C90A38" w:rsidRPr="00D26D21" w:rsidRDefault="00C90A38" w:rsidP="00C90A38">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1 Corinthians 6:15-20 </w:t>
      </w:r>
      <w:r w:rsidR="004E2382">
        <w:rPr>
          <w:rFonts w:ascii="Palatino Linotype" w:hAnsi="Palatino Linotype"/>
          <w:sz w:val="24"/>
          <w:szCs w:val="24"/>
        </w:rPr>
        <w:t xml:space="preserve">  </w:t>
      </w:r>
      <w:r w:rsidRPr="00D26D21">
        <w:rPr>
          <w:rFonts w:ascii="Palatino Linotype" w:hAnsi="Palatino Linotype"/>
          <w:sz w:val="24"/>
          <w:szCs w:val="24"/>
        </w:rPr>
        <w:t xml:space="preserve">Verse 18 is likely another slogan to which Paul replied. </w:t>
      </w:r>
    </w:p>
    <w:p w14:paraId="0DE80C30" w14:textId="64E19E9E" w:rsidR="00C90A38" w:rsidRPr="00D26D21" w:rsidRDefault="00C90A38" w:rsidP="00C90A38">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v12a Corinthians: “All things are permitted for me” </w:t>
      </w:r>
    </w:p>
    <w:p w14:paraId="695FE21D" w14:textId="01DFCB69" w:rsidR="00C90A38" w:rsidRPr="00D26D21" w:rsidRDefault="00C90A38" w:rsidP="00C90A38">
      <w:pPr>
        <w:pStyle w:val="ListParagraph"/>
        <w:numPr>
          <w:ilvl w:val="1"/>
          <w:numId w:val="13"/>
        </w:numPr>
        <w:rPr>
          <w:rFonts w:ascii="Palatino Linotype" w:hAnsi="Palatino Linotype"/>
          <w:sz w:val="24"/>
          <w:szCs w:val="24"/>
        </w:rPr>
      </w:pPr>
      <w:r w:rsidRPr="00D26D21">
        <w:rPr>
          <w:rFonts w:ascii="Palatino Linotype" w:hAnsi="Palatino Linotype"/>
          <w:sz w:val="24"/>
          <w:szCs w:val="24"/>
        </w:rPr>
        <w:t>Paul: “But not all things are beneficial”</w:t>
      </w:r>
    </w:p>
    <w:p w14:paraId="78C88309" w14:textId="77777777" w:rsidR="00C90A38" w:rsidRPr="00D26D21" w:rsidRDefault="00C90A38" w:rsidP="00C90A38">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v12b Corinthians: “All things are lawful for me” </w:t>
      </w:r>
    </w:p>
    <w:p w14:paraId="27D0CC86" w14:textId="4DA2D540" w:rsidR="00C90A38" w:rsidRPr="00D26D21" w:rsidRDefault="00C90A38" w:rsidP="00C90A38">
      <w:pPr>
        <w:pStyle w:val="ListParagraph"/>
        <w:numPr>
          <w:ilvl w:val="1"/>
          <w:numId w:val="13"/>
        </w:numPr>
        <w:rPr>
          <w:rFonts w:ascii="Palatino Linotype" w:hAnsi="Palatino Linotype"/>
          <w:sz w:val="24"/>
          <w:szCs w:val="24"/>
        </w:rPr>
      </w:pPr>
      <w:r w:rsidRPr="00D26D21">
        <w:rPr>
          <w:rFonts w:ascii="Palatino Linotype" w:hAnsi="Palatino Linotype"/>
          <w:sz w:val="24"/>
          <w:szCs w:val="24"/>
        </w:rPr>
        <w:t>Paul: “But I will not be dominated by anything”</w:t>
      </w:r>
    </w:p>
    <w:p w14:paraId="588A877E" w14:textId="77777777" w:rsidR="00C90A38" w:rsidRPr="00D26D21" w:rsidRDefault="00C90A38" w:rsidP="00C90A38">
      <w:pPr>
        <w:pStyle w:val="ListParagraph"/>
        <w:numPr>
          <w:ilvl w:val="0"/>
          <w:numId w:val="13"/>
        </w:numPr>
        <w:rPr>
          <w:rFonts w:ascii="Palatino Linotype" w:hAnsi="Palatino Linotype"/>
          <w:sz w:val="24"/>
          <w:szCs w:val="24"/>
        </w:rPr>
      </w:pPr>
      <w:r w:rsidRPr="00D26D21">
        <w:rPr>
          <w:rFonts w:ascii="Palatino Linotype" w:hAnsi="Palatino Linotype"/>
          <w:sz w:val="24"/>
          <w:szCs w:val="24"/>
        </w:rPr>
        <w:t>v13 Corinthians: “Food is meant for the stomach and the stomach for food and God will destroy both one and the other.”</w:t>
      </w:r>
    </w:p>
    <w:p w14:paraId="74008421" w14:textId="11DBD6D3" w:rsidR="00C90A38" w:rsidRPr="00D26D21" w:rsidRDefault="00C90A38" w:rsidP="00C90A38">
      <w:pPr>
        <w:pStyle w:val="ListParagraph"/>
        <w:numPr>
          <w:ilvl w:val="1"/>
          <w:numId w:val="13"/>
        </w:numPr>
        <w:rPr>
          <w:rFonts w:ascii="Palatino Linotype" w:hAnsi="Palatino Linotype"/>
          <w:sz w:val="24"/>
          <w:szCs w:val="24"/>
        </w:rPr>
      </w:pPr>
      <w:r w:rsidRPr="00D26D21">
        <w:rPr>
          <w:rFonts w:ascii="Palatino Linotype" w:hAnsi="Palatino Linotype"/>
          <w:sz w:val="24"/>
          <w:szCs w:val="24"/>
        </w:rPr>
        <w:t>Paul: “The body is meant not for sexual immorality but for the Lord and the Lord for the body.”</w:t>
      </w:r>
    </w:p>
    <w:p w14:paraId="3353A41B" w14:textId="247B5870" w:rsidR="00C90A38" w:rsidRPr="00D26D21" w:rsidRDefault="00C90A38" w:rsidP="00C90A38">
      <w:pPr>
        <w:pStyle w:val="ListParagraph"/>
        <w:numPr>
          <w:ilvl w:val="0"/>
          <w:numId w:val="13"/>
        </w:numPr>
        <w:rPr>
          <w:rFonts w:ascii="Palatino Linotype" w:hAnsi="Palatino Linotype"/>
          <w:sz w:val="24"/>
          <w:szCs w:val="24"/>
        </w:rPr>
      </w:pPr>
      <w:r w:rsidRPr="00D26D21">
        <w:rPr>
          <w:rFonts w:ascii="Palatino Linotype" w:hAnsi="Palatino Linotype"/>
          <w:sz w:val="24"/>
          <w:szCs w:val="24"/>
        </w:rPr>
        <w:lastRenderedPageBreak/>
        <w:t>v18 Corinthians: “Every sin that a person commits is outside the body”</w:t>
      </w:r>
    </w:p>
    <w:p w14:paraId="2ACB5E86" w14:textId="28258987" w:rsidR="00C90A38" w:rsidRPr="00D26D21" w:rsidRDefault="00C90A38" w:rsidP="00C90A38">
      <w:pPr>
        <w:pStyle w:val="ListParagraph"/>
        <w:numPr>
          <w:ilvl w:val="1"/>
          <w:numId w:val="13"/>
        </w:numPr>
        <w:rPr>
          <w:rFonts w:ascii="Palatino Linotype" w:hAnsi="Palatino Linotype"/>
          <w:sz w:val="24"/>
          <w:szCs w:val="24"/>
        </w:rPr>
      </w:pPr>
      <w:r w:rsidRPr="00D26D21">
        <w:rPr>
          <w:rFonts w:ascii="Palatino Linotype" w:hAnsi="Palatino Linotype"/>
          <w:sz w:val="24"/>
          <w:szCs w:val="24"/>
        </w:rPr>
        <w:t>Paul: “But the sexually immoral person sins against the body itself”</w:t>
      </w:r>
    </w:p>
    <w:p w14:paraId="2EC4F07F" w14:textId="15759F01" w:rsidR="00A83122" w:rsidRPr="00D26D21" w:rsidRDefault="00EA68C5" w:rsidP="00B46597">
      <w:pPr>
        <w:contextualSpacing/>
        <w:rPr>
          <w:rFonts w:ascii="Palatino Linotype" w:hAnsi="Palatino Linotype"/>
          <w:sz w:val="24"/>
          <w:szCs w:val="24"/>
        </w:rPr>
      </w:pPr>
      <w:r w:rsidRPr="00D26D21">
        <w:rPr>
          <w:rFonts w:ascii="Palatino Linotype" w:hAnsi="Palatino Linotype"/>
          <w:sz w:val="24"/>
          <w:szCs w:val="24"/>
        </w:rPr>
        <w:t>Temple Prostitutes, Brothels, or Banquets?</w:t>
      </w:r>
    </w:p>
    <w:p w14:paraId="6D0E404D" w14:textId="6E2D5DC5" w:rsidR="00EA68C5" w:rsidRPr="002D2489" w:rsidRDefault="00EA68C5" w:rsidP="006D7CDC">
      <w:pPr>
        <w:pStyle w:val="ListParagraph"/>
        <w:numPr>
          <w:ilvl w:val="0"/>
          <w:numId w:val="13"/>
        </w:numPr>
        <w:rPr>
          <w:rFonts w:ascii="Palatino Linotype" w:hAnsi="Palatino Linotype"/>
          <w:sz w:val="24"/>
          <w:szCs w:val="24"/>
        </w:rPr>
      </w:pPr>
      <w:r w:rsidRPr="002D2489">
        <w:rPr>
          <w:rFonts w:ascii="Palatino Linotype" w:hAnsi="Palatino Linotype"/>
          <w:sz w:val="24"/>
          <w:szCs w:val="24"/>
        </w:rPr>
        <w:t>Older commentaries drew on the Strabo quote I started with about Aphrodite and her temple prostitutes to interpret 1 Corinthians 6. However, this was not the case when Paul was there.</w:t>
      </w:r>
      <w:r w:rsidR="002D2489" w:rsidRPr="002D2489">
        <w:rPr>
          <w:rFonts w:ascii="Palatino Linotype" w:hAnsi="Palatino Linotype"/>
          <w:sz w:val="24"/>
          <w:szCs w:val="24"/>
        </w:rPr>
        <w:t xml:space="preserve"> </w:t>
      </w:r>
      <w:r w:rsidRPr="002D2489">
        <w:rPr>
          <w:rFonts w:ascii="Palatino Linotype" w:hAnsi="Palatino Linotype"/>
          <w:sz w:val="24"/>
          <w:szCs w:val="24"/>
        </w:rPr>
        <w:t>Brothels were common in cities. We have archeological evidence from Ephesus and Pompeii as well as plenty of literary evidence.</w:t>
      </w:r>
      <w:r w:rsidR="002D2489" w:rsidRPr="002D2489">
        <w:rPr>
          <w:rFonts w:ascii="Palatino Linotype" w:hAnsi="Palatino Linotype"/>
          <w:sz w:val="24"/>
          <w:szCs w:val="24"/>
        </w:rPr>
        <w:t xml:space="preserve"> </w:t>
      </w:r>
      <w:r w:rsidRPr="002D2489">
        <w:rPr>
          <w:rFonts w:ascii="Palatino Linotype" w:hAnsi="Palatino Linotype"/>
          <w:sz w:val="24"/>
          <w:szCs w:val="24"/>
        </w:rPr>
        <w:t>Banquets were another venue where high-end prostitutes worked.</w:t>
      </w:r>
    </w:p>
    <w:p w14:paraId="4E489773" w14:textId="0932BD4A" w:rsidR="00EA68C5" w:rsidRPr="00D26D21" w:rsidRDefault="00EA68C5" w:rsidP="00EA68C5">
      <w:pPr>
        <w:pStyle w:val="ListParagraph"/>
        <w:numPr>
          <w:ilvl w:val="0"/>
          <w:numId w:val="13"/>
        </w:numPr>
        <w:rPr>
          <w:rFonts w:ascii="Palatino Linotype" w:hAnsi="Palatino Linotype"/>
          <w:sz w:val="24"/>
          <w:szCs w:val="24"/>
        </w:rPr>
      </w:pPr>
      <w:r w:rsidRPr="00D26D21">
        <w:rPr>
          <w:rFonts w:ascii="Palatino Linotype" w:hAnsi="Palatino Linotype"/>
          <w:sz w:val="24"/>
          <w:szCs w:val="24"/>
        </w:rPr>
        <w:t xml:space="preserve">Cicero: “[I]f there is anyone who thinks that youth should be forbidden affairs even with courtesans, he is doubtless eminently austere (I cannot deny it), but his view is contrary not only to the </w:t>
      </w:r>
      <w:proofErr w:type="spellStart"/>
      <w:r w:rsidRPr="00D26D21">
        <w:rPr>
          <w:rFonts w:ascii="Palatino Linotype" w:hAnsi="Palatino Linotype"/>
          <w:sz w:val="24"/>
          <w:szCs w:val="24"/>
        </w:rPr>
        <w:t>licence</w:t>
      </w:r>
      <w:proofErr w:type="spellEnd"/>
      <w:r w:rsidRPr="00D26D21">
        <w:rPr>
          <w:rFonts w:ascii="Palatino Linotype" w:hAnsi="Palatino Linotype"/>
          <w:sz w:val="24"/>
          <w:szCs w:val="24"/>
        </w:rPr>
        <w:t xml:space="preserve"> of this age, but also to the custom and concessions of our ancestor. For when was this not </w:t>
      </w:r>
      <w:proofErr w:type="gramStart"/>
      <w:r w:rsidRPr="00D26D21">
        <w:rPr>
          <w:rFonts w:ascii="Palatino Linotype" w:hAnsi="Palatino Linotype"/>
          <w:sz w:val="24"/>
          <w:szCs w:val="24"/>
        </w:rPr>
        <w:t>a common</w:t>
      </w:r>
      <w:proofErr w:type="gramEnd"/>
      <w:r w:rsidRPr="00D26D21">
        <w:rPr>
          <w:rFonts w:ascii="Palatino Linotype" w:hAnsi="Palatino Linotype"/>
          <w:sz w:val="24"/>
          <w:szCs w:val="24"/>
        </w:rPr>
        <w:t xml:space="preserve"> practice? When was it blamed? When was it forbidden? When, in fact, was it that what is allowed was not allowed?”</w:t>
      </w:r>
      <w:r w:rsidRPr="00D26D21">
        <w:rPr>
          <w:rStyle w:val="FootnoteReference"/>
          <w:rFonts w:ascii="Palatino Linotype" w:hAnsi="Palatino Linotype"/>
          <w:sz w:val="24"/>
          <w:szCs w:val="24"/>
        </w:rPr>
        <w:footnoteReference w:id="14"/>
      </w:r>
      <w:r w:rsidRPr="00D26D21">
        <w:rPr>
          <w:rFonts w:ascii="Palatino Linotype" w:hAnsi="Palatino Linotype"/>
          <w:sz w:val="24"/>
          <w:szCs w:val="24"/>
        </w:rPr>
        <w:t xml:space="preserve"> (Cicero, </w:t>
      </w:r>
      <w:r w:rsidRPr="00D26D21">
        <w:rPr>
          <w:rFonts w:ascii="Palatino Linotype" w:hAnsi="Palatino Linotype"/>
          <w:i/>
          <w:iCs/>
          <w:sz w:val="24"/>
          <w:szCs w:val="24"/>
        </w:rPr>
        <w:t xml:space="preserve">Pro </w:t>
      </w:r>
      <w:proofErr w:type="spellStart"/>
      <w:r w:rsidRPr="00D26D21">
        <w:rPr>
          <w:rFonts w:ascii="Palatino Linotype" w:hAnsi="Palatino Linotype"/>
          <w:i/>
          <w:iCs/>
          <w:sz w:val="24"/>
          <w:szCs w:val="24"/>
        </w:rPr>
        <w:t>Caelio</w:t>
      </w:r>
      <w:proofErr w:type="spellEnd"/>
      <w:r w:rsidRPr="00D26D21">
        <w:rPr>
          <w:rFonts w:ascii="Palatino Linotype" w:hAnsi="Palatino Linotype"/>
          <w:i/>
          <w:iCs/>
          <w:sz w:val="24"/>
          <w:szCs w:val="24"/>
        </w:rPr>
        <w:t xml:space="preserve"> </w:t>
      </w:r>
      <w:r w:rsidRPr="00D26D21">
        <w:rPr>
          <w:rFonts w:ascii="Palatino Linotype" w:hAnsi="Palatino Linotype"/>
          <w:sz w:val="24"/>
          <w:szCs w:val="24"/>
        </w:rPr>
        <w:t>48)</w:t>
      </w:r>
    </w:p>
    <w:p w14:paraId="7204E223" w14:textId="724D010E" w:rsidR="00EA68C5" w:rsidRPr="00D26D21" w:rsidRDefault="00EA68C5" w:rsidP="00D26D21">
      <w:pPr>
        <w:pStyle w:val="ListParagraph"/>
        <w:numPr>
          <w:ilvl w:val="0"/>
          <w:numId w:val="13"/>
        </w:numPr>
        <w:rPr>
          <w:rFonts w:ascii="Palatino Linotype" w:hAnsi="Palatino Linotype"/>
          <w:sz w:val="24"/>
          <w:szCs w:val="24"/>
        </w:rPr>
      </w:pPr>
      <w:r w:rsidRPr="00D26D21">
        <w:rPr>
          <w:rFonts w:ascii="Palatino Linotype" w:hAnsi="Palatino Linotype"/>
          <w:sz w:val="24"/>
          <w:szCs w:val="24"/>
        </w:rPr>
        <w:t>Bruce Winter: “Gluttony and drunkenness were an accepted part of social life in Corinth, as were the promiscuous ‘after-dinners.’ For grand dinners such as the series of banquets given by the President of the Isthmian Games for the citizens of Corinth, travelling brothels could be brought in by the host to cater for guests after the dinner in the place where it was held.</w:t>
      </w:r>
      <w:r w:rsidR="00522FD5">
        <w:rPr>
          <w:rFonts w:ascii="Palatino Linotype" w:hAnsi="Palatino Linotype"/>
          <w:sz w:val="24"/>
          <w:szCs w:val="24"/>
        </w:rPr>
        <w:t xml:space="preserve"> </w:t>
      </w:r>
      <w:r w:rsidRPr="00D26D21">
        <w:rPr>
          <w:rFonts w:ascii="Palatino Linotype" w:hAnsi="Palatino Linotype"/>
          <w:sz w:val="24"/>
          <w:szCs w:val="24"/>
        </w:rPr>
        <w:t xml:space="preserve">The élite who gave private banquets to which they invited </w:t>
      </w:r>
      <w:r w:rsidR="00F3354D" w:rsidRPr="00D26D21">
        <w:rPr>
          <w:rFonts w:ascii="Palatino Linotype" w:hAnsi="Palatino Linotype"/>
          <w:sz w:val="24"/>
          <w:szCs w:val="24"/>
        </w:rPr>
        <w:t>clients</w:t>
      </w:r>
      <w:r w:rsidRPr="00D26D21">
        <w:rPr>
          <w:rFonts w:ascii="Palatino Linotype" w:hAnsi="Palatino Linotype"/>
          <w:sz w:val="24"/>
          <w:szCs w:val="24"/>
        </w:rPr>
        <w:t xml:space="preserve"> as well as other guests provided not only for their physical hunger but also for their sexual appetites. It needs to be noted that 1 Corinthians 6:12-20 does not state that Christians </w:t>
      </w:r>
      <w:proofErr w:type="gramStart"/>
      <w:r w:rsidRPr="00D26D21">
        <w:rPr>
          <w:rFonts w:ascii="Palatino Linotype" w:hAnsi="Palatino Linotype"/>
          <w:sz w:val="24"/>
          <w:szCs w:val="24"/>
        </w:rPr>
        <w:t>actually wen</w:t>
      </w:r>
      <w:r w:rsidR="00F3354D" w:rsidRPr="00D26D21">
        <w:rPr>
          <w:rFonts w:ascii="Palatino Linotype" w:hAnsi="Palatino Linotype"/>
          <w:sz w:val="24"/>
          <w:szCs w:val="24"/>
        </w:rPr>
        <w:t>t</w:t>
      </w:r>
      <w:proofErr w:type="gramEnd"/>
      <w:r w:rsidRPr="00D26D21">
        <w:rPr>
          <w:rFonts w:ascii="Palatino Linotype" w:hAnsi="Palatino Linotype"/>
          <w:sz w:val="24"/>
          <w:szCs w:val="24"/>
        </w:rPr>
        <w:t xml:space="preserve"> to brothels. They were having sexual intercourse with prostitutes in the context of dinner.</w:t>
      </w:r>
      <w:r w:rsidR="00522FD5">
        <w:rPr>
          <w:rFonts w:ascii="Palatino Linotype" w:hAnsi="Palatino Linotype"/>
          <w:sz w:val="24"/>
          <w:szCs w:val="24"/>
        </w:rPr>
        <w:t xml:space="preserve"> </w:t>
      </w:r>
      <w:r w:rsidR="001A5768" w:rsidRPr="00D26D21">
        <w:rPr>
          <w:rFonts w:ascii="Palatino Linotype" w:hAnsi="Palatino Linotype"/>
          <w:sz w:val="24"/>
          <w:szCs w:val="24"/>
        </w:rPr>
        <w:t>…</w:t>
      </w:r>
      <w:r w:rsidR="00522FD5">
        <w:rPr>
          <w:rFonts w:ascii="Palatino Linotype" w:hAnsi="Palatino Linotype"/>
          <w:sz w:val="24"/>
          <w:szCs w:val="24"/>
        </w:rPr>
        <w:t xml:space="preserve"> </w:t>
      </w:r>
      <w:r w:rsidR="001A5768" w:rsidRPr="00D26D21">
        <w:rPr>
          <w:rFonts w:ascii="Palatino Linotype" w:hAnsi="Palatino Linotype"/>
          <w:sz w:val="24"/>
          <w:szCs w:val="24"/>
        </w:rPr>
        <w:t>T</w:t>
      </w:r>
      <w:r w:rsidRPr="00D26D21">
        <w:rPr>
          <w:rFonts w:ascii="Palatino Linotype" w:hAnsi="Palatino Linotype"/>
          <w:sz w:val="24"/>
          <w:szCs w:val="24"/>
        </w:rPr>
        <w:t>he strong adversative ‘but’ used on both occasions in 6:12 was Paul’s way of giving clear warning against choosing the path of gluttony and whoring that epitomized conduct at banquets attended by young men who had gained the freedom of adulthood. If Christian youths affirmed that they had come of age and all was now permitted, Paul countered with a statement that not everything was beneficial</w:t>
      </w:r>
      <w:r w:rsidR="004E2382">
        <w:rPr>
          <w:rFonts w:ascii="Palatino Linotype" w:hAnsi="Palatino Linotype"/>
          <w:sz w:val="24"/>
          <w:szCs w:val="24"/>
        </w:rPr>
        <w:t>.</w:t>
      </w:r>
      <w:r w:rsidRPr="00D26D21">
        <w:rPr>
          <w:rFonts w:ascii="Palatino Linotype" w:hAnsi="Palatino Linotype"/>
          <w:sz w:val="24"/>
          <w:szCs w:val="24"/>
        </w:rPr>
        <w:t>… Fornication, like drunkenness, was one of the grounds for exclusion from the kingdom (6:9-10).”</w:t>
      </w:r>
      <w:r w:rsidRPr="00D26D21">
        <w:rPr>
          <w:rStyle w:val="FootnoteReference"/>
          <w:rFonts w:ascii="Palatino Linotype" w:hAnsi="Palatino Linotype"/>
          <w:sz w:val="24"/>
          <w:szCs w:val="24"/>
        </w:rPr>
        <w:footnoteReference w:id="15"/>
      </w:r>
    </w:p>
    <w:p w14:paraId="5B687EBF" w14:textId="77777777" w:rsidR="00A83122" w:rsidRPr="00D26D21" w:rsidRDefault="00A83122" w:rsidP="00B46597">
      <w:pPr>
        <w:contextualSpacing/>
        <w:rPr>
          <w:rFonts w:ascii="Palatino Linotype" w:hAnsi="Palatino Linotype"/>
          <w:sz w:val="24"/>
          <w:szCs w:val="24"/>
        </w:rPr>
      </w:pPr>
    </w:p>
    <w:p w14:paraId="0D59C90E" w14:textId="544AFA13" w:rsidR="0026169B" w:rsidRPr="00D26D21" w:rsidRDefault="0026169B" w:rsidP="00B46597">
      <w:pPr>
        <w:contextualSpacing/>
        <w:rPr>
          <w:rFonts w:ascii="Palatino Linotype" w:hAnsi="Palatino Linotype"/>
          <w:b/>
          <w:bCs/>
          <w:sz w:val="24"/>
          <w:szCs w:val="24"/>
        </w:rPr>
      </w:pPr>
      <w:r w:rsidRPr="00D26D21">
        <w:rPr>
          <w:rFonts w:ascii="Palatino Linotype" w:hAnsi="Palatino Linotype"/>
          <w:b/>
          <w:bCs/>
          <w:sz w:val="24"/>
          <w:szCs w:val="24"/>
        </w:rPr>
        <w:t>Bibliography</w:t>
      </w:r>
    </w:p>
    <w:p w14:paraId="4CA37D7B" w14:textId="77777777" w:rsidR="002D2489" w:rsidRPr="002D2489" w:rsidRDefault="00CD61F0" w:rsidP="002D2489">
      <w:pPr>
        <w:pStyle w:val="EndNoteBibliography"/>
        <w:ind w:left="720" w:hanging="720"/>
      </w:pPr>
      <w:r>
        <w:rPr>
          <w:rFonts w:ascii="Palatino Linotype" w:hAnsi="Palatino Linotype"/>
          <w:sz w:val="24"/>
          <w:szCs w:val="24"/>
        </w:rPr>
        <w:lastRenderedPageBreak/>
        <w:fldChar w:fldCharType="begin"/>
      </w:r>
      <w:r>
        <w:rPr>
          <w:rFonts w:ascii="Palatino Linotype" w:hAnsi="Palatino Linotype"/>
          <w:sz w:val="24"/>
          <w:szCs w:val="24"/>
        </w:rPr>
        <w:instrText xml:space="preserve"> ADDIN EN.REFLIST </w:instrText>
      </w:r>
      <w:r>
        <w:rPr>
          <w:rFonts w:ascii="Palatino Linotype" w:hAnsi="Palatino Linotype"/>
          <w:sz w:val="24"/>
          <w:szCs w:val="24"/>
        </w:rPr>
        <w:fldChar w:fldCharType="separate"/>
      </w:r>
      <w:r w:rsidR="002D2489" w:rsidRPr="002D2489">
        <w:t xml:space="preserve">Chow, John K. </w:t>
      </w:r>
      <w:r w:rsidR="002D2489" w:rsidRPr="002D2489">
        <w:rPr>
          <w:i/>
        </w:rPr>
        <w:t>Patronage and Power: A Study of Social Networks in Corinth</w:t>
      </w:r>
      <w:r w:rsidR="002D2489" w:rsidRPr="002D2489">
        <w:t>. Sheffield, England: JSOT Press, 1992.</w:t>
      </w:r>
    </w:p>
    <w:p w14:paraId="3F49B708" w14:textId="77777777" w:rsidR="002D2489" w:rsidRPr="002D2489" w:rsidRDefault="002D2489" w:rsidP="002D2489">
      <w:pPr>
        <w:pStyle w:val="EndNoteBibliography"/>
        <w:spacing w:after="0"/>
      </w:pPr>
    </w:p>
    <w:p w14:paraId="638B64E8" w14:textId="77777777" w:rsidR="002D2489" w:rsidRPr="002D2489" w:rsidRDefault="002D2489" w:rsidP="002D2489">
      <w:pPr>
        <w:pStyle w:val="EndNoteBibliography"/>
        <w:ind w:left="720" w:hanging="720"/>
      </w:pPr>
      <w:r w:rsidRPr="002D2489">
        <w:t xml:space="preserve">Cicero, Marcus Tullius. </w:t>
      </w:r>
      <w:r w:rsidRPr="002D2489">
        <w:rPr>
          <w:i/>
        </w:rPr>
        <w:t>Pro Caelio, De Provinciis Consularibus, Pro Balbo</w:t>
      </w:r>
      <w:r w:rsidRPr="002D2489">
        <w:t xml:space="preserve">. Translated by R. Gardner. </w:t>
      </w:r>
      <w:r w:rsidRPr="002D2489">
        <w:rPr>
          <w:i/>
        </w:rPr>
        <w:t>Loeb Classical Library</w:t>
      </w:r>
      <w:r w:rsidRPr="002D2489">
        <w:t>. London, England: William Heinemann, 1970.</w:t>
      </w:r>
    </w:p>
    <w:p w14:paraId="3A28A029" w14:textId="77777777" w:rsidR="002D2489" w:rsidRPr="002D2489" w:rsidRDefault="002D2489" w:rsidP="002D2489">
      <w:pPr>
        <w:pStyle w:val="EndNoteBibliography"/>
        <w:spacing w:after="0"/>
      </w:pPr>
    </w:p>
    <w:p w14:paraId="47030F6C" w14:textId="77777777" w:rsidR="002D2489" w:rsidRPr="002D2489" w:rsidRDefault="002D2489" w:rsidP="002D2489">
      <w:pPr>
        <w:pStyle w:val="EndNoteBibliography"/>
        <w:ind w:left="720" w:hanging="720"/>
      </w:pPr>
      <w:r w:rsidRPr="002D2489">
        <w:t xml:space="preserve">Gaius. </w:t>
      </w:r>
      <w:r w:rsidRPr="002D2489">
        <w:rPr>
          <w:i/>
        </w:rPr>
        <w:t>The Institutes of Roman Law</w:t>
      </w:r>
      <w:r w:rsidRPr="002D2489">
        <w:t>. Translated by Edward Post. 2017, Reprint, 1904. Originally published as 1904.</w:t>
      </w:r>
    </w:p>
    <w:p w14:paraId="78E47124" w14:textId="77777777" w:rsidR="002D2489" w:rsidRPr="002D2489" w:rsidRDefault="002D2489" w:rsidP="002D2489">
      <w:pPr>
        <w:pStyle w:val="EndNoteBibliography"/>
        <w:spacing w:after="0"/>
      </w:pPr>
    </w:p>
    <w:p w14:paraId="2ACE74A8" w14:textId="77777777" w:rsidR="002D2489" w:rsidRPr="002D2489" w:rsidRDefault="002D2489" w:rsidP="002D2489">
      <w:pPr>
        <w:pStyle w:val="EndNoteBibliography"/>
        <w:ind w:left="720" w:hanging="720"/>
      </w:pPr>
      <w:r w:rsidRPr="002D2489">
        <w:t xml:space="preserve">Gill, David W. J. "1 Corinthians." In </w:t>
      </w:r>
      <w:r w:rsidRPr="002D2489">
        <w:rPr>
          <w:i/>
        </w:rPr>
        <w:t>Romans to Philemon</w:t>
      </w:r>
      <w:r w:rsidRPr="002D2489">
        <w:t>. Edited by Clinton E. Arnold. Vol. 3. Grand Rapids, MI: Zondervan, 2002.</w:t>
      </w:r>
    </w:p>
    <w:p w14:paraId="2BC2D6AF" w14:textId="77777777" w:rsidR="002D2489" w:rsidRPr="002D2489" w:rsidRDefault="002D2489" w:rsidP="002D2489">
      <w:pPr>
        <w:pStyle w:val="EndNoteBibliography"/>
        <w:spacing w:after="0"/>
      </w:pPr>
    </w:p>
    <w:p w14:paraId="203BA229" w14:textId="77777777" w:rsidR="002D2489" w:rsidRPr="002D2489" w:rsidRDefault="002D2489" w:rsidP="002D2489">
      <w:pPr>
        <w:pStyle w:val="EndNoteBibliography"/>
        <w:ind w:left="720" w:hanging="720"/>
      </w:pPr>
      <w:r w:rsidRPr="002D2489">
        <w:t xml:space="preserve">Horace. </w:t>
      </w:r>
      <w:r w:rsidRPr="002D2489">
        <w:rPr>
          <w:i/>
        </w:rPr>
        <w:t>Satires and Epistles</w:t>
      </w:r>
      <w:r w:rsidRPr="002D2489">
        <w:t>. Translated by Niall Rudd. London, England: Penguin, 2005.</w:t>
      </w:r>
    </w:p>
    <w:p w14:paraId="72A31ED5" w14:textId="77777777" w:rsidR="002D2489" w:rsidRPr="002D2489" w:rsidRDefault="002D2489" w:rsidP="002D2489">
      <w:pPr>
        <w:pStyle w:val="EndNoteBibliography"/>
        <w:spacing w:after="0"/>
      </w:pPr>
    </w:p>
    <w:p w14:paraId="762D5745" w14:textId="77777777" w:rsidR="002D2489" w:rsidRPr="002D2489" w:rsidRDefault="002D2489" w:rsidP="002D2489">
      <w:pPr>
        <w:pStyle w:val="EndNoteBibliography"/>
        <w:ind w:left="720" w:hanging="720"/>
      </w:pPr>
      <w:r w:rsidRPr="002D2489">
        <w:t xml:space="preserve">Johnson, Marguerite. </w:t>
      </w:r>
      <w:r w:rsidRPr="002D2489">
        <w:rPr>
          <w:i/>
        </w:rPr>
        <w:t>Sexuality in Greek and Roman Society and Literature: A Sourcebook</w:t>
      </w:r>
      <w:r w:rsidRPr="002D2489">
        <w:t>. 2nd ed. New York, NY: Routledge, 2022.</w:t>
      </w:r>
    </w:p>
    <w:p w14:paraId="144D5E75" w14:textId="77777777" w:rsidR="002D2489" w:rsidRPr="002D2489" w:rsidRDefault="002D2489" w:rsidP="002D2489">
      <w:pPr>
        <w:pStyle w:val="EndNoteBibliography"/>
        <w:spacing w:after="0"/>
      </w:pPr>
    </w:p>
    <w:p w14:paraId="2A3D7519" w14:textId="77777777" w:rsidR="002D2489" w:rsidRPr="002D2489" w:rsidRDefault="002D2489" w:rsidP="002D2489">
      <w:pPr>
        <w:pStyle w:val="EndNoteBibliography"/>
        <w:ind w:left="720" w:hanging="720"/>
      </w:pPr>
      <w:r w:rsidRPr="002D2489">
        <w:t xml:space="preserve">Martial. </w:t>
      </w:r>
      <w:r w:rsidRPr="002D2489">
        <w:rPr>
          <w:i/>
        </w:rPr>
        <w:t>Epigrams</w:t>
      </w:r>
      <w:r w:rsidRPr="002D2489">
        <w:t xml:space="preserve">. Translated by Gideon Nisbet. </w:t>
      </w:r>
      <w:r w:rsidRPr="002D2489">
        <w:rPr>
          <w:i/>
        </w:rPr>
        <w:t>Oxford World's Classics</w:t>
      </w:r>
      <w:r w:rsidRPr="002D2489">
        <w:t>. Oxford, England: Oxford University, 2015.</w:t>
      </w:r>
    </w:p>
    <w:p w14:paraId="3BCDDFE1" w14:textId="77777777" w:rsidR="002D2489" w:rsidRPr="002D2489" w:rsidRDefault="002D2489" w:rsidP="002D2489">
      <w:pPr>
        <w:pStyle w:val="EndNoteBibliography"/>
        <w:spacing w:after="0"/>
      </w:pPr>
    </w:p>
    <w:p w14:paraId="392B144F" w14:textId="77777777" w:rsidR="002D2489" w:rsidRPr="002D2489" w:rsidRDefault="002D2489" w:rsidP="002D2489">
      <w:pPr>
        <w:pStyle w:val="EndNoteBibliography"/>
        <w:ind w:left="720" w:hanging="720"/>
      </w:pPr>
      <w:r w:rsidRPr="002D2489">
        <w:t xml:space="preserve">Martin, Dale B. </w:t>
      </w:r>
      <w:r w:rsidRPr="002D2489">
        <w:rPr>
          <w:i/>
        </w:rPr>
        <w:t>The Corinthian Body</w:t>
      </w:r>
      <w:r w:rsidRPr="002D2489">
        <w:t>. New Haven, CT: Yale University, 1995.</w:t>
      </w:r>
    </w:p>
    <w:p w14:paraId="367A6A37" w14:textId="77777777" w:rsidR="002D2489" w:rsidRPr="002D2489" w:rsidRDefault="002D2489" w:rsidP="002D2489">
      <w:pPr>
        <w:pStyle w:val="EndNoteBibliography"/>
        <w:spacing w:after="0"/>
      </w:pPr>
    </w:p>
    <w:p w14:paraId="6BBB9CC5" w14:textId="77777777" w:rsidR="002D2489" w:rsidRPr="002D2489" w:rsidRDefault="002D2489" w:rsidP="002D2489">
      <w:pPr>
        <w:pStyle w:val="EndNoteBibliography"/>
        <w:ind w:left="720" w:hanging="720"/>
      </w:pPr>
      <w:r w:rsidRPr="002D2489">
        <w:t xml:space="preserve">Murphy-O'Connor, Jerome. </w:t>
      </w:r>
      <w:r w:rsidRPr="002D2489">
        <w:rPr>
          <w:i/>
        </w:rPr>
        <w:t>St. Paul's Corinth: Texts and Archeology</w:t>
      </w:r>
      <w:r w:rsidRPr="002D2489">
        <w:t>. 3rd ed. Collegeville, MN: The Liturgical Press, 2002.</w:t>
      </w:r>
    </w:p>
    <w:p w14:paraId="41001BEC" w14:textId="77777777" w:rsidR="002D2489" w:rsidRPr="002D2489" w:rsidRDefault="002D2489" w:rsidP="002D2489">
      <w:pPr>
        <w:pStyle w:val="EndNoteBibliography"/>
        <w:spacing w:after="0"/>
      </w:pPr>
    </w:p>
    <w:p w14:paraId="67E8CF26" w14:textId="77777777" w:rsidR="002D2489" w:rsidRPr="002D2489" w:rsidRDefault="002D2489" w:rsidP="002D2489">
      <w:pPr>
        <w:pStyle w:val="EndNoteBibliography"/>
        <w:ind w:left="720" w:hanging="720"/>
      </w:pPr>
      <w:r w:rsidRPr="002D2489">
        <w:t xml:space="preserve">Neusner, Jacob. </w:t>
      </w:r>
      <w:r w:rsidRPr="002D2489">
        <w:rPr>
          <w:i/>
        </w:rPr>
        <w:t>The Mishnah: A New Translation</w:t>
      </w:r>
      <w:r w:rsidRPr="002D2489">
        <w:t>. New Haven, CT: Yale, 1988.</w:t>
      </w:r>
    </w:p>
    <w:p w14:paraId="19CB29FC" w14:textId="77777777" w:rsidR="002D2489" w:rsidRPr="002D2489" w:rsidRDefault="002D2489" w:rsidP="002D2489">
      <w:pPr>
        <w:pStyle w:val="EndNoteBibliography"/>
        <w:spacing w:after="0"/>
      </w:pPr>
    </w:p>
    <w:p w14:paraId="529258C9" w14:textId="77777777" w:rsidR="002D2489" w:rsidRPr="002D2489" w:rsidRDefault="002D2489" w:rsidP="002D2489">
      <w:pPr>
        <w:pStyle w:val="EndNoteBibliography"/>
        <w:ind w:left="720" w:hanging="720"/>
      </w:pPr>
      <w:r w:rsidRPr="002D2489">
        <w:t xml:space="preserve">Smith, Jay E. "The Roots of a 'Libertine' Slogan in 1 Corinthians 6:18." </w:t>
      </w:r>
      <w:r w:rsidRPr="002D2489">
        <w:rPr>
          <w:i/>
        </w:rPr>
        <w:t>The Journal of Theological Studies</w:t>
      </w:r>
      <w:r w:rsidRPr="002D2489">
        <w:t xml:space="preserve"> 59, no. 1 (2008): 63-95.</w:t>
      </w:r>
    </w:p>
    <w:p w14:paraId="63B80B3D" w14:textId="77777777" w:rsidR="002D2489" w:rsidRPr="002D2489" w:rsidRDefault="002D2489" w:rsidP="002D2489">
      <w:pPr>
        <w:pStyle w:val="EndNoteBibliography"/>
        <w:spacing w:after="0"/>
      </w:pPr>
    </w:p>
    <w:p w14:paraId="5BE2D844" w14:textId="77777777" w:rsidR="002D2489" w:rsidRPr="002D2489" w:rsidRDefault="002D2489" w:rsidP="002D2489">
      <w:pPr>
        <w:pStyle w:val="EndNoteBibliography"/>
        <w:ind w:left="720" w:hanging="720"/>
      </w:pPr>
      <w:r w:rsidRPr="002D2489">
        <w:t xml:space="preserve">South, James T. </w:t>
      </w:r>
      <w:r w:rsidRPr="002D2489">
        <w:rPr>
          <w:i/>
        </w:rPr>
        <w:t>Disciplinary Practices in Pauline Texts</w:t>
      </w:r>
      <w:r w:rsidRPr="002D2489">
        <w:t>. Lewiston, NY: The Edwin Mellen Press, 1992.</w:t>
      </w:r>
    </w:p>
    <w:p w14:paraId="24AC9EE0" w14:textId="77777777" w:rsidR="002D2489" w:rsidRPr="002D2489" w:rsidRDefault="002D2489" w:rsidP="002D2489">
      <w:pPr>
        <w:pStyle w:val="EndNoteBibliography"/>
        <w:spacing w:after="0"/>
      </w:pPr>
    </w:p>
    <w:p w14:paraId="7C838257" w14:textId="77777777" w:rsidR="002D2489" w:rsidRPr="002D2489" w:rsidRDefault="002D2489" w:rsidP="002D2489">
      <w:pPr>
        <w:pStyle w:val="EndNoteBibliography"/>
        <w:ind w:left="720" w:hanging="720"/>
      </w:pPr>
      <w:r w:rsidRPr="002D2489">
        <w:t xml:space="preserve">Strabo. </w:t>
      </w:r>
      <w:r w:rsidRPr="002D2489">
        <w:rPr>
          <w:i/>
        </w:rPr>
        <w:t>The Geography</w:t>
      </w:r>
      <w:r w:rsidRPr="002D2489">
        <w:t>. Translated by Duane W. Roller. Cambridge, UK: Cambridge, 2020.</w:t>
      </w:r>
    </w:p>
    <w:p w14:paraId="278E80D4" w14:textId="77777777" w:rsidR="002D2489" w:rsidRPr="002D2489" w:rsidRDefault="002D2489" w:rsidP="002D2489">
      <w:pPr>
        <w:pStyle w:val="EndNoteBibliography"/>
        <w:spacing w:after="0"/>
      </w:pPr>
    </w:p>
    <w:p w14:paraId="34B17006" w14:textId="77777777" w:rsidR="002D2489" w:rsidRPr="002D2489" w:rsidRDefault="002D2489" w:rsidP="002D2489">
      <w:pPr>
        <w:pStyle w:val="EndNoteBibliography"/>
        <w:ind w:left="720" w:hanging="720"/>
      </w:pPr>
      <w:r w:rsidRPr="002D2489">
        <w:t xml:space="preserve">Thiselton, Anthony C. </w:t>
      </w:r>
      <w:r w:rsidRPr="002D2489">
        <w:rPr>
          <w:i/>
        </w:rPr>
        <w:t>The First Epistle to the Corinthians: A Commentary on the Greek Text</w:t>
      </w:r>
      <w:r w:rsidRPr="002D2489">
        <w:t xml:space="preserve">. Vol. 13. </w:t>
      </w:r>
      <w:r w:rsidRPr="002D2489">
        <w:rPr>
          <w:i/>
        </w:rPr>
        <w:t>Nigtc</w:t>
      </w:r>
      <w:r w:rsidRPr="002D2489">
        <w:t>. Grand Rapids, MI: Eerdmans, 2000.</w:t>
      </w:r>
    </w:p>
    <w:p w14:paraId="685983D0" w14:textId="77777777" w:rsidR="002D2489" w:rsidRPr="002D2489" w:rsidRDefault="002D2489" w:rsidP="002D2489">
      <w:pPr>
        <w:pStyle w:val="EndNoteBibliography"/>
        <w:spacing w:after="0"/>
      </w:pPr>
    </w:p>
    <w:p w14:paraId="4923B00C" w14:textId="77777777" w:rsidR="002D2489" w:rsidRPr="002D2489" w:rsidRDefault="002D2489" w:rsidP="002D2489">
      <w:pPr>
        <w:pStyle w:val="EndNoteBibliography"/>
        <w:ind w:left="720" w:hanging="720"/>
      </w:pPr>
      <w:r w:rsidRPr="002D2489">
        <w:t xml:space="preserve">Winter, Bruce W. </w:t>
      </w:r>
      <w:r w:rsidRPr="002D2489">
        <w:rPr>
          <w:i/>
        </w:rPr>
        <w:t>After Paul Left Corinth</w:t>
      </w:r>
      <w:r w:rsidRPr="002D2489">
        <w:t>. Grand Rapids, MI: Eerdmans.</w:t>
      </w:r>
    </w:p>
    <w:p w14:paraId="4A5D79C3" w14:textId="7925A122" w:rsidR="00610CC6" w:rsidRPr="005948AF" w:rsidRDefault="00CD61F0" w:rsidP="002C6089">
      <w:pPr>
        <w:rPr>
          <w:rFonts w:ascii="Palatino Linotype" w:hAnsi="Palatino Linotype"/>
          <w:sz w:val="24"/>
          <w:szCs w:val="24"/>
        </w:rPr>
      </w:pPr>
      <w:r>
        <w:rPr>
          <w:rFonts w:ascii="Palatino Linotype" w:hAnsi="Palatino Linotype"/>
          <w:sz w:val="24"/>
          <w:szCs w:val="24"/>
        </w:rPr>
        <w:fldChar w:fldCharType="end"/>
      </w:r>
    </w:p>
    <w:sectPr w:rsidR="00610CC6" w:rsidRPr="005948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3BE5" w14:textId="77777777" w:rsidR="00F96BFA" w:rsidRDefault="00F96BFA" w:rsidP="006930AF">
      <w:pPr>
        <w:spacing w:after="0" w:line="240" w:lineRule="auto"/>
      </w:pPr>
      <w:r>
        <w:separator/>
      </w:r>
    </w:p>
  </w:endnote>
  <w:endnote w:type="continuationSeparator" w:id="0">
    <w:p w14:paraId="46C0A8D0" w14:textId="77777777" w:rsidR="00F96BFA" w:rsidRDefault="00F96BFA" w:rsidP="0069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520329"/>
      <w:docPartObj>
        <w:docPartGallery w:val="Page Numbers (Bottom of Page)"/>
        <w:docPartUnique/>
      </w:docPartObj>
    </w:sdtPr>
    <w:sdtEndPr>
      <w:rPr>
        <w:noProof/>
      </w:rPr>
    </w:sdtEndPr>
    <w:sdtContent>
      <w:p w14:paraId="1454AFB5" w14:textId="77777777" w:rsidR="006930AF" w:rsidRDefault="006930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561E3" w14:textId="77777777" w:rsidR="006930AF" w:rsidRDefault="0069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120C" w14:textId="77777777" w:rsidR="00F96BFA" w:rsidRDefault="00F96BFA" w:rsidP="006930AF">
      <w:pPr>
        <w:spacing w:after="0" w:line="240" w:lineRule="auto"/>
      </w:pPr>
      <w:r>
        <w:separator/>
      </w:r>
    </w:p>
  </w:footnote>
  <w:footnote w:type="continuationSeparator" w:id="0">
    <w:p w14:paraId="4ACC233E" w14:textId="77777777" w:rsidR="00F96BFA" w:rsidRDefault="00F96BFA" w:rsidP="006930AF">
      <w:pPr>
        <w:spacing w:after="0" w:line="240" w:lineRule="auto"/>
      </w:pPr>
      <w:r>
        <w:continuationSeparator/>
      </w:r>
    </w:p>
  </w:footnote>
  <w:footnote w:id="1">
    <w:p w14:paraId="254ED8CD" w14:textId="77777777" w:rsidR="00F55A24" w:rsidRDefault="00F55A24" w:rsidP="00F55A24">
      <w:pPr>
        <w:pStyle w:val="FootnoteText"/>
      </w:pPr>
      <w:r>
        <w:rPr>
          <w:rStyle w:val="FootnoteReference"/>
        </w:rPr>
        <w:footnoteRef/>
      </w:r>
      <w:r>
        <w:t xml:space="preserve"> </w:t>
      </w:r>
      <w:r>
        <w:fldChar w:fldCharType="begin"/>
      </w:r>
      <w:r>
        <w:instrText xml:space="preserve"> ADDIN EN.CITE &lt;EndNote&gt;&lt;Cite&gt;&lt;Author&gt;Strabo&lt;/Author&gt;&lt;Year&gt;2020&lt;/Year&gt;&lt;RecNum&gt;363&lt;/RecNum&gt;&lt;Pages&gt;375&lt;/Pages&gt;&lt;DisplayText&gt;Strabo, &lt;style face="italic"&gt;The Geography&lt;/style&gt;, trans., Duane W. Roller (Cambridge, UK: Cambridge, 2020), 375.&lt;/DisplayText&gt;&lt;record&gt;&lt;rec-number&gt;363&lt;/rec-number&gt;&lt;foreign-keys&gt;&lt;key app="EN" db-id="rvzp5afzc2eppgewzt5x0esos0rsevefr9z5" timestamp="1690828243"&gt;363&lt;/key&gt;&lt;/foreign-keys&gt;&lt;ref-type name="Ancient Text"&gt;51&lt;/ref-type&gt;&lt;contributors&gt;&lt;authors&gt;&lt;author&gt;Strabo&lt;/author&gt;&lt;/authors&gt;&lt;subsidiary-authors&gt;&lt;author&gt;Duane W. Roller&lt;/author&gt;&lt;/subsidiary-authors&gt;&lt;/contributors&gt;&lt;titles&gt;&lt;title&gt;The Geography&lt;/title&gt;&lt;/titles&gt;&lt;dates&gt;&lt;year&gt;2020&lt;/year&gt;&lt;/dates&gt;&lt;pub-location&gt;Cambridge, UK&lt;/pub-location&gt;&lt;publisher&gt;Cambridge&lt;/publisher&gt;&lt;urls&gt;&lt;/urls&gt;&lt;/record&gt;&lt;/Cite&gt;&lt;/EndNote&gt;</w:instrText>
      </w:r>
      <w:r>
        <w:fldChar w:fldCharType="separate"/>
      </w:r>
      <w:r>
        <w:rPr>
          <w:noProof/>
        </w:rPr>
        <w:t xml:space="preserve">Strabo, </w:t>
      </w:r>
      <w:r w:rsidRPr="009B2618">
        <w:rPr>
          <w:i/>
          <w:noProof/>
        </w:rPr>
        <w:t>The Geography</w:t>
      </w:r>
      <w:r>
        <w:rPr>
          <w:noProof/>
        </w:rPr>
        <w:t>, trans., Duane W. Roller (Cambridge, UK: Cambridge, 2020), 375.</w:t>
      </w:r>
      <w:r>
        <w:fldChar w:fldCharType="end"/>
      </w:r>
    </w:p>
  </w:footnote>
  <w:footnote w:id="2">
    <w:p w14:paraId="5CDFE55F" w14:textId="77777777" w:rsidR="00F55A24" w:rsidRDefault="00F55A24" w:rsidP="00F55A24">
      <w:pPr>
        <w:pStyle w:val="FootnoteText"/>
      </w:pPr>
      <w:r>
        <w:rPr>
          <w:rStyle w:val="FootnoteReference"/>
        </w:rPr>
        <w:footnoteRef/>
      </w:r>
      <w:r>
        <w:t xml:space="preserve"> </w:t>
      </w:r>
      <w:r>
        <w:fldChar w:fldCharType="begin"/>
      </w:r>
      <w:r>
        <w:instrText xml:space="preserve"> ADDIN EN.CITE &lt;EndNote&gt;&lt;Cite&gt;&lt;Author&gt;Murphy-O&amp;apos;Connor&lt;/Author&gt;&lt;Year&gt;2002&lt;/Year&gt;&lt;RecNum&gt;454&lt;/RecNum&gt;&lt;Pages&gt;56-7&lt;/Pages&gt;&lt;DisplayText&gt;Jerome Murphy-O&amp;apos;Connor, &lt;style face="italic"&gt;St. Paul&amp;apos;s Corinth: Texts and Archeology&lt;/style&gt;, 3rd ed. (Collegeville, MN: The Liturgical Press, 2002), 56-7.&lt;/DisplayText&gt;&lt;record&gt;&lt;rec-number&gt;454&lt;/rec-number&gt;&lt;foreign-keys&gt;&lt;key app="EN" db-id="rvzp5afzc2eppgewzt5x0esos0rsevefr9z5" timestamp="1733757286"&gt;454&lt;/key&gt;&lt;/foreign-keys&gt;&lt;ref-type name="Book"&gt;6&lt;/ref-type&gt;&lt;contributors&gt;&lt;authors&gt;&lt;author&gt;Jerome Murphy-O&amp;apos;Connor&lt;/author&gt;&lt;/authors&gt;&lt;/contributors&gt;&lt;titles&gt;&lt;title&gt;St. Paul&amp;apos;s Corinth: Texts and Archeology&lt;/title&gt;&lt;/titles&gt;&lt;edition&gt;3rd&lt;/edition&gt;&lt;dates&gt;&lt;year&gt;2002&lt;/year&gt;&lt;/dates&gt;&lt;pub-location&gt;Collegeville, MN&lt;/pub-location&gt;&lt;publisher&gt;The Liturgical Press&lt;/publisher&gt;&lt;urls&gt;&lt;/urls&gt;&lt;/record&gt;&lt;/Cite&gt;&lt;/EndNote&gt;</w:instrText>
      </w:r>
      <w:r>
        <w:fldChar w:fldCharType="separate"/>
      </w:r>
      <w:r>
        <w:rPr>
          <w:noProof/>
        </w:rPr>
        <w:t xml:space="preserve">Jerome Murphy-O'Connor, </w:t>
      </w:r>
      <w:r w:rsidRPr="00EB73D8">
        <w:rPr>
          <w:i/>
          <w:noProof/>
        </w:rPr>
        <w:t>St. Paul's Corinth: Texts and Archeology</w:t>
      </w:r>
      <w:r>
        <w:rPr>
          <w:noProof/>
        </w:rPr>
        <w:t>, 3rd ed. (Collegeville, MN: The Liturgical Press, 2002), 56-7.</w:t>
      </w:r>
      <w:r>
        <w:fldChar w:fldCharType="end"/>
      </w:r>
    </w:p>
  </w:footnote>
  <w:footnote w:id="3">
    <w:p w14:paraId="68C42D4E" w14:textId="77777777" w:rsidR="00C028A7" w:rsidRDefault="00C028A7" w:rsidP="00C028A7">
      <w:pPr>
        <w:pStyle w:val="FootnoteText"/>
      </w:pPr>
      <w:r>
        <w:rPr>
          <w:rStyle w:val="FootnoteReference"/>
        </w:rPr>
        <w:footnoteRef/>
      </w:r>
      <w:r>
        <w:t xml:space="preserve"> </w:t>
      </w:r>
      <w:r>
        <w:fldChar w:fldCharType="begin"/>
      </w:r>
      <w:r>
        <w:instrText xml:space="preserve"> ADDIN EN.CITE &lt;EndNote&gt;&lt;Cite&gt;&lt;Author&gt;Martial&lt;/Author&gt;&lt;Year&gt;2015&lt;/Year&gt;&lt;RecNum&gt;495&lt;/RecNum&gt;&lt;Pages&gt;181&lt;/Pages&gt;&lt;DisplayText&gt;Martial, &lt;style face="italic"&gt;Epigrams&lt;/style&gt;, trans. Gideon Nisbet, &lt;style face="italic"&gt;Oxford World&amp;apos;s Classics&lt;/style&gt; (Oxford, England: Oxford University, 2015), 181.&lt;/DisplayText&gt;&lt;record&gt;&lt;rec-number&gt;495&lt;/rec-number&gt;&lt;foreign-keys&gt;&lt;key app="EN" db-id="rvzp5afzc2eppgewzt5x0esos0rsevefr9z5" timestamp="1737983300"&gt;495&lt;/key&gt;&lt;/foreign-keys&gt;&lt;ref-type name="Book"&gt;6&lt;/ref-type&gt;&lt;contributors&gt;&lt;authors&gt;&lt;author&gt;Martial&lt;/author&gt;&lt;/authors&gt;&lt;subsidiary-authors&gt;&lt;author&gt;Gideon Nisbet&lt;/author&gt;&lt;/subsidiary-authors&gt;&lt;/contributors&gt;&lt;titles&gt;&lt;title&gt;Epigrams&lt;/title&gt;&lt;secondary-title&gt;Oxford World&amp;apos;s Classics&lt;/secondary-title&gt;&lt;/titles&gt;&lt;dates&gt;&lt;year&gt;2015&lt;/year&gt;&lt;/dates&gt;&lt;pub-location&gt;Oxford, England&lt;/pub-location&gt;&lt;publisher&gt;Oxford University&lt;/publisher&gt;&lt;urls&gt;&lt;/urls&gt;&lt;/record&gt;&lt;/Cite&gt;&lt;/EndNote&gt;</w:instrText>
      </w:r>
      <w:r>
        <w:fldChar w:fldCharType="separate"/>
      </w:r>
      <w:r>
        <w:rPr>
          <w:noProof/>
        </w:rPr>
        <w:t xml:space="preserve">Martial, </w:t>
      </w:r>
      <w:r w:rsidRPr="00502272">
        <w:rPr>
          <w:i/>
          <w:noProof/>
        </w:rPr>
        <w:t>Epigrams</w:t>
      </w:r>
      <w:r>
        <w:rPr>
          <w:noProof/>
        </w:rPr>
        <w:t xml:space="preserve">, trans. Gideon Nisbet, </w:t>
      </w:r>
      <w:r w:rsidRPr="00502272">
        <w:rPr>
          <w:i/>
          <w:noProof/>
        </w:rPr>
        <w:t>Oxford World's Classics</w:t>
      </w:r>
      <w:r>
        <w:rPr>
          <w:noProof/>
        </w:rPr>
        <w:t xml:space="preserve"> (Oxford, England: Oxford University, 2015), 181.</w:t>
      </w:r>
      <w:r>
        <w:fldChar w:fldCharType="end"/>
      </w:r>
    </w:p>
  </w:footnote>
  <w:footnote w:id="4">
    <w:p w14:paraId="44C99670" w14:textId="77777777" w:rsidR="003354F6" w:rsidRDefault="003354F6" w:rsidP="003354F6">
      <w:pPr>
        <w:pStyle w:val="FootnoteText"/>
      </w:pPr>
      <w:r>
        <w:rPr>
          <w:rStyle w:val="FootnoteReference"/>
        </w:rPr>
        <w:footnoteRef/>
      </w:r>
      <w:r>
        <w:t xml:space="preserve"> </w:t>
      </w:r>
      <w:r>
        <w:fldChar w:fldCharType="begin"/>
      </w:r>
      <w:r>
        <w:instrText xml:space="preserve"> ADDIN EN.CITE &lt;EndNote&gt;&lt;Cite&gt;&lt;Author&gt;Gaius&lt;/Author&gt;&lt;Year&gt;1904&lt;/Year&gt;&lt;RecNum&gt;497&lt;/RecNum&gt;&lt;Pages&gt;74&lt;/Pages&gt;&lt;DisplayText&gt;Gaius, &lt;style face="italic"&gt;The Institutes of Roman Law&lt;/style&gt;, trans. Edward Post (2017: repr.,  1904), 74.&lt;/DisplayText&gt;&lt;record&gt;&lt;rec-number&gt;497&lt;/rec-number&gt;&lt;foreign-keys&gt;&lt;key app="EN" db-id="rvzp5afzc2eppgewzt5x0esos0rsevefr9z5" timestamp="1737989462"&gt;497&lt;/key&gt;&lt;/foreign-keys&gt;&lt;ref-type name="Book"&gt;6&lt;/ref-type&gt;&lt;contributors&gt;&lt;authors&gt;&lt;author&gt;Gaius&lt;/author&gt;&lt;/authors&gt;&lt;subsidiary-authors&gt;&lt;author&gt;Edward Post&lt;/author&gt;&lt;/subsidiary-authors&gt;&lt;/contributors&gt;&lt;titles&gt;&lt;title&gt;The Institutes of Roman Law&lt;/title&gt;&lt;/titles&gt;&lt;reprint-edition&gt;2017&lt;/reprint-edition&gt;&lt;dates&gt;&lt;year&gt;1904&lt;/year&gt;&lt;/dates&gt;&lt;orig-pub&gt;1904&lt;/orig-pub&gt;&lt;urls&gt;&lt;/urls&gt;&lt;/record&gt;&lt;/Cite&gt;&lt;/EndNote&gt;</w:instrText>
      </w:r>
      <w:r>
        <w:fldChar w:fldCharType="separate"/>
      </w:r>
      <w:r>
        <w:rPr>
          <w:noProof/>
        </w:rPr>
        <w:t xml:space="preserve">Gaius, </w:t>
      </w:r>
      <w:r w:rsidRPr="00DE642C">
        <w:rPr>
          <w:i/>
          <w:noProof/>
        </w:rPr>
        <w:t>The Institutes of Roman Law</w:t>
      </w:r>
      <w:r>
        <w:rPr>
          <w:noProof/>
        </w:rPr>
        <w:t>, trans. Edward Post (2017: repr.,  1904), 74.</w:t>
      </w:r>
      <w:r>
        <w:fldChar w:fldCharType="end"/>
      </w:r>
    </w:p>
  </w:footnote>
  <w:footnote w:id="5">
    <w:p w14:paraId="78339A04" w14:textId="77777777" w:rsidR="003354F6" w:rsidRDefault="003354F6" w:rsidP="003354F6">
      <w:pPr>
        <w:pStyle w:val="FootnoteText"/>
      </w:pPr>
      <w:r>
        <w:rPr>
          <w:rStyle w:val="FootnoteReference"/>
        </w:rPr>
        <w:footnoteRef/>
      </w:r>
      <w:r>
        <w:t xml:space="preserve"> </w:t>
      </w:r>
      <w:r>
        <w:fldChar w:fldCharType="begin"/>
      </w:r>
      <w:r>
        <w:instrText xml:space="preserve"> ADDIN EN.CITE &lt;EndNote&gt;&lt;Cite&gt;&lt;Author&gt;Neusner&lt;/Author&gt;&lt;Year&gt;1988&lt;/Year&gt;&lt;RecNum&gt;486&lt;/RecNum&gt;&lt;DisplayText&gt;Jacob Neusner, &lt;style face="italic"&gt;The Mishnah: A New Translation&lt;/style&gt; (New Haven, CT: Yale, 1988).&lt;/DisplayText&gt;&lt;record&gt;&lt;rec-number&gt;486&lt;/rec-number&gt;&lt;foreign-keys&gt;&lt;key app="EN" db-id="rvzp5afzc2eppgewzt5x0esos0rsevefr9z5" timestamp="1737734148"&gt;486&lt;/key&gt;&lt;/foreign-keys&gt;&lt;ref-type name="Book"&gt;6&lt;/ref-type&gt;&lt;contributors&gt;&lt;authors&gt;&lt;author&gt;Jacob Neusner&lt;/author&gt;&lt;/authors&gt;&lt;/contributors&gt;&lt;titles&gt;&lt;title&gt;The MIshnah: A New Translation&lt;/title&gt;&lt;/titles&gt;&lt;dates&gt;&lt;year&gt;1988&lt;/year&gt;&lt;/dates&gt;&lt;pub-location&gt;New Haven, CT&lt;/pub-location&gt;&lt;publisher&gt;Yale&lt;/publisher&gt;&lt;urls&gt;&lt;/urls&gt;&lt;/record&gt;&lt;/Cite&gt;&lt;/EndNote&gt;</w:instrText>
      </w:r>
      <w:r>
        <w:fldChar w:fldCharType="separate"/>
      </w:r>
      <w:r>
        <w:rPr>
          <w:noProof/>
        </w:rPr>
        <w:t xml:space="preserve">Jacob Neusner, </w:t>
      </w:r>
      <w:r w:rsidRPr="00A460E0">
        <w:rPr>
          <w:i/>
          <w:noProof/>
        </w:rPr>
        <w:t>The Mishnah: A New Translation</w:t>
      </w:r>
      <w:r>
        <w:rPr>
          <w:noProof/>
        </w:rPr>
        <w:t xml:space="preserve"> (New Haven, CT: Yale, 1988).</w:t>
      </w:r>
      <w:r>
        <w:fldChar w:fldCharType="end"/>
      </w:r>
    </w:p>
  </w:footnote>
  <w:footnote w:id="6">
    <w:p w14:paraId="42C88663" w14:textId="77777777" w:rsidR="008C42B4" w:rsidRDefault="008C42B4" w:rsidP="008C42B4">
      <w:pPr>
        <w:pStyle w:val="FootnoteText"/>
      </w:pPr>
      <w:r>
        <w:rPr>
          <w:rStyle w:val="FootnoteReference"/>
        </w:rPr>
        <w:footnoteRef/>
      </w:r>
      <w:r>
        <w:t xml:space="preserve"> </w:t>
      </w:r>
      <w:r>
        <w:fldChar w:fldCharType="begin"/>
      </w:r>
      <w:r>
        <w:instrText xml:space="preserve"> ADDIN EN.CITE &lt;EndNote&gt;&lt;Cite&gt;&lt;Author&gt;Chow&lt;/Author&gt;&lt;Year&gt;1992&lt;/Year&gt;&lt;RecNum&gt;487&lt;/RecNum&gt;&lt;Pages&gt;137-8&lt;/Pages&gt;&lt;DisplayText&gt;John K. Chow, &lt;style face="italic"&gt;Patronage and Power: A Study of Social Networks in Corinth&lt;/style&gt; (Sheffield, England: JSOT Press, 1992), 137-8.&lt;/DisplayText&gt;&lt;record&gt;&lt;rec-number&gt;487&lt;/rec-number&gt;&lt;foreign-keys&gt;&lt;key app="EN" db-id="rvzp5afzc2eppgewzt5x0esos0rsevefr9z5" timestamp="1737826027"&gt;487&lt;/key&gt;&lt;/foreign-keys&gt;&lt;ref-type name="Book"&gt;6&lt;/ref-type&gt;&lt;contributors&gt;&lt;authors&gt;&lt;author&gt;John K. Chow&lt;/author&gt;&lt;/authors&gt;&lt;/contributors&gt;&lt;titles&gt;&lt;title&gt;Patronage and Power: A Study of Social Networks in Corinth&lt;/title&gt;&lt;/titles&gt;&lt;dates&gt;&lt;year&gt;1992&lt;/year&gt;&lt;/dates&gt;&lt;pub-location&gt;Sheffield, England&lt;/pub-location&gt;&lt;publisher&gt;JSOT Press&lt;/publisher&gt;&lt;urls&gt;&lt;/urls&gt;&lt;/record&gt;&lt;/Cite&gt;&lt;/EndNote&gt;</w:instrText>
      </w:r>
      <w:r>
        <w:fldChar w:fldCharType="separate"/>
      </w:r>
      <w:r>
        <w:rPr>
          <w:noProof/>
        </w:rPr>
        <w:t xml:space="preserve">John K. Chow, </w:t>
      </w:r>
      <w:r w:rsidRPr="00A34109">
        <w:rPr>
          <w:i/>
          <w:noProof/>
        </w:rPr>
        <w:t>Patronage and Power: A Study of Social Networks in Corinth</w:t>
      </w:r>
      <w:r>
        <w:rPr>
          <w:noProof/>
        </w:rPr>
        <w:t xml:space="preserve"> (Sheffield, England: JSOT Press, 1992), 137-8.</w:t>
      </w:r>
      <w:r>
        <w:fldChar w:fldCharType="end"/>
      </w:r>
    </w:p>
  </w:footnote>
  <w:footnote w:id="7">
    <w:p w14:paraId="16B6F5D6" w14:textId="77777777" w:rsidR="008274D5" w:rsidRDefault="008274D5" w:rsidP="008274D5">
      <w:pPr>
        <w:pStyle w:val="FootnoteText"/>
      </w:pPr>
      <w:r>
        <w:rPr>
          <w:rStyle w:val="FootnoteReference"/>
        </w:rPr>
        <w:footnoteRef/>
      </w:r>
      <w:r>
        <w:t xml:space="preserve"> </w:t>
      </w:r>
      <w:r>
        <w:fldChar w:fldCharType="begin"/>
      </w:r>
      <w:r>
        <w:instrText xml:space="preserve"> ADDIN EN.CITE &lt;EndNote&gt;&lt;Cite&gt;&lt;Author&gt;Thiselton&lt;/Author&gt;&lt;Year&gt;2000&lt;/Year&gt;&lt;RecNum&gt;463&lt;/RecNum&gt;&lt;Pages&gt;396&lt;/Pages&gt;&lt;DisplayText&gt;Anthony C. Thiselton, &lt;style face="italic"&gt;The First Epistle to the Corinthians: A Commentary on the Greek Text&lt;/style&gt;, vol. 13, &lt;style face="italic"&gt;Nigtc&lt;/style&gt; (Grand Rapids, MI: Eerdmans, 2000), 396.&lt;/DisplayText&gt;&lt;record&gt;&lt;rec-number&gt;463&lt;/rec-number&gt;&lt;foreign-keys&gt;&lt;key app="EN" db-id="rvzp5afzc2eppgewzt5x0esos0rsevefr9z5" timestamp="1736266608"&gt;463&lt;/key&gt;&lt;/foreign-keys&gt;&lt;ref-type name="Book"&gt;6&lt;/ref-type&gt;&lt;contributors&gt;&lt;authors&gt;&lt;author&gt;Anthony C. Thiselton&lt;/author&gt;&lt;/authors&gt;&lt;/contributors&gt;&lt;titles&gt;&lt;title&gt;The First Epistle to the Corinthians: A Commentary on the Greek Text&lt;/title&gt;&lt;secondary-title&gt;NIGTC&lt;/secondary-title&gt;&lt;/titles&gt;&lt;volume&gt;13&lt;/volume&gt;&lt;dates&gt;&lt;year&gt;2000&lt;/year&gt;&lt;/dates&gt;&lt;pub-location&gt;Grand Rapids, MI&lt;/pub-location&gt;&lt;publisher&gt;Eerdmans&lt;/publisher&gt;&lt;urls&gt;&lt;/urls&gt;&lt;/record&gt;&lt;/Cite&gt;&lt;/EndNote&gt;</w:instrText>
      </w:r>
      <w:r>
        <w:fldChar w:fldCharType="separate"/>
      </w:r>
      <w:r>
        <w:rPr>
          <w:noProof/>
        </w:rPr>
        <w:t xml:space="preserve">Anthony C. Thiselton, </w:t>
      </w:r>
      <w:r w:rsidRPr="000B6A36">
        <w:rPr>
          <w:i/>
          <w:noProof/>
        </w:rPr>
        <w:t>The First Epistle to the Corinthians: A Commentary on the Greek Text</w:t>
      </w:r>
      <w:r>
        <w:rPr>
          <w:noProof/>
        </w:rPr>
        <w:t xml:space="preserve">, vol. 13, </w:t>
      </w:r>
      <w:r w:rsidRPr="000B6A36">
        <w:rPr>
          <w:i/>
          <w:noProof/>
        </w:rPr>
        <w:t>Nigtc</w:t>
      </w:r>
      <w:r>
        <w:rPr>
          <w:noProof/>
        </w:rPr>
        <w:t xml:space="preserve"> (Grand Rapids, MI: Eerdmans, 2000), 396.</w:t>
      </w:r>
      <w:r>
        <w:fldChar w:fldCharType="end"/>
      </w:r>
    </w:p>
  </w:footnote>
  <w:footnote w:id="8">
    <w:p w14:paraId="3B39AC06" w14:textId="77777777" w:rsidR="00BB3A55" w:rsidRDefault="00BB3A55" w:rsidP="00BB3A55">
      <w:pPr>
        <w:pStyle w:val="FootnoteText"/>
      </w:pPr>
      <w:r>
        <w:rPr>
          <w:rStyle w:val="FootnoteReference"/>
        </w:rPr>
        <w:footnoteRef/>
      </w:r>
      <w:r>
        <w:t xml:space="preserve"> </w:t>
      </w:r>
      <w:r>
        <w:fldChar w:fldCharType="begin"/>
      </w:r>
      <w:r>
        <w:instrText xml:space="preserve"> ADDIN EN.CITE &lt;EndNote&gt;&lt;Cite&gt;&lt;Author&gt;South&lt;/Author&gt;&lt;Year&gt;1992&lt;/Year&gt;&lt;RecNum&gt;499&lt;/RecNum&gt;&lt;Pages&gt;43&lt;/Pages&gt;&lt;DisplayText&gt;James T. South, &lt;style face="italic"&gt;Disciplinary Practices in Pauline Texts&lt;/style&gt; (Lewiston, NY: The Edwin Mellen Press, 1992), 43.&lt;/DisplayText&gt;&lt;record&gt;&lt;rec-number&gt;499&lt;/rec-number&gt;&lt;foreign-keys&gt;&lt;key app="EN" db-id="rvzp5afzc2eppgewzt5x0esos0rsevefr9z5" timestamp="1737994256"&gt;499&lt;/key&gt;&lt;/foreign-keys&gt;&lt;ref-type name="Book"&gt;6&lt;/ref-type&gt;&lt;contributors&gt;&lt;authors&gt;&lt;author&gt;James T. South&lt;/author&gt;&lt;/authors&gt;&lt;/contributors&gt;&lt;titles&gt;&lt;title&gt;Disciplinary Practices in Pauline Texts&lt;/title&gt;&lt;/titles&gt;&lt;dates&gt;&lt;year&gt;1992&lt;/year&gt;&lt;/dates&gt;&lt;pub-location&gt;Lewiston, NY&lt;/pub-location&gt;&lt;publisher&gt;The Edwin Mellen Press&lt;/publisher&gt;&lt;urls&gt;&lt;/urls&gt;&lt;/record&gt;&lt;/Cite&gt;&lt;/EndNote&gt;</w:instrText>
      </w:r>
      <w:r>
        <w:fldChar w:fldCharType="separate"/>
      </w:r>
      <w:r>
        <w:rPr>
          <w:noProof/>
        </w:rPr>
        <w:t xml:space="preserve">James T. South, </w:t>
      </w:r>
      <w:r w:rsidRPr="00B87970">
        <w:rPr>
          <w:i/>
          <w:noProof/>
        </w:rPr>
        <w:t>Disciplinary Practices in Pauline Texts</w:t>
      </w:r>
      <w:r>
        <w:rPr>
          <w:noProof/>
        </w:rPr>
        <w:t xml:space="preserve"> (Lewiston, NY: The Edwin Mellen Press, 1992), 43.</w:t>
      </w:r>
      <w:r>
        <w:fldChar w:fldCharType="end"/>
      </w:r>
    </w:p>
  </w:footnote>
  <w:footnote w:id="9">
    <w:p w14:paraId="40726C21" w14:textId="77777777" w:rsidR="003F31EC" w:rsidRDefault="003F31EC" w:rsidP="003F31EC">
      <w:pPr>
        <w:pStyle w:val="FootnoteText"/>
      </w:pPr>
      <w:r>
        <w:rPr>
          <w:rStyle w:val="FootnoteReference"/>
        </w:rPr>
        <w:footnoteRef/>
      </w:r>
      <w:r>
        <w:t xml:space="preserve"> </w:t>
      </w:r>
      <w:r>
        <w:fldChar w:fldCharType="begin"/>
      </w:r>
      <w:r>
        <w:instrText xml:space="preserve"> ADDIN EN.CITE &lt;EndNote&gt;&lt;Cite&gt;&lt;Author&gt;Martin&lt;/Author&gt;&lt;Year&gt;1995&lt;/Year&gt;&lt;RecNum&gt;496&lt;/RecNum&gt;&lt;Pages&gt;170&lt;/Pages&gt;&lt;DisplayText&gt;Dale B. Martin, &lt;style face="italic"&gt;The Corinthian Body&lt;/style&gt; (New Haven, CT: Yale University, 1995), 170.&lt;/DisplayText&gt;&lt;record&gt;&lt;rec-number&gt;496&lt;/rec-number&gt;&lt;foreign-keys&gt;&lt;key app="EN" db-id="rvzp5afzc2eppgewzt5x0esos0rsevefr9z5" timestamp="1737985532"&gt;496&lt;/key&gt;&lt;/foreign-keys&gt;&lt;ref-type name="Book"&gt;6&lt;/ref-type&gt;&lt;contributors&gt;&lt;authors&gt;&lt;author&gt;Dale B. Martin&lt;/author&gt;&lt;/authors&gt;&lt;/contributors&gt;&lt;titles&gt;&lt;title&gt;The Corinthian Body&lt;/title&gt;&lt;/titles&gt;&lt;dates&gt;&lt;year&gt;1995&lt;/year&gt;&lt;/dates&gt;&lt;pub-location&gt;New Haven, CT&lt;/pub-location&gt;&lt;publisher&gt;Yale University&lt;/publisher&gt;&lt;urls&gt;&lt;/urls&gt;&lt;/record&gt;&lt;/Cite&gt;&lt;/EndNote&gt;</w:instrText>
      </w:r>
      <w:r>
        <w:fldChar w:fldCharType="separate"/>
      </w:r>
      <w:r>
        <w:rPr>
          <w:noProof/>
        </w:rPr>
        <w:t xml:space="preserve">Dale B. Martin, </w:t>
      </w:r>
      <w:r w:rsidRPr="00582A32">
        <w:rPr>
          <w:i/>
          <w:noProof/>
        </w:rPr>
        <w:t>The Corinthian Body</w:t>
      </w:r>
      <w:r>
        <w:rPr>
          <w:noProof/>
        </w:rPr>
        <w:t xml:space="preserve"> (New Haven, CT: Yale University, 1995), 170.</w:t>
      </w:r>
      <w:r>
        <w:fldChar w:fldCharType="end"/>
      </w:r>
    </w:p>
  </w:footnote>
  <w:footnote w:id="10">
    <w:p w14:paraId="49D758E9" w14:textId="77777777" w:rsidR="00A50A1E" w:rsidRDefault="00A50A1E" w:rsidP="00A50A1E">
      <w:pPr>
        <w:pStyle w:val="FootnoteText"/>
      </w:pPr>
      <w:r>
        <w:rPr>
          <w:rStyle w:val="FootnoteReference"/>
        </w:rPr>
        <w:footnoteRef/>
      </w:r>
      <w:r>
        <w:t xml:space="preserve"> </w:t>
      </w:r>
      <w:r>
        <w:fldChar w:fldCharType="begin"/>
      </w:r>
      <w:r>
        <w:instrText xml:space="preserve"> ADDIN EN.CITE &lt;EndNote&gt;&lt;Cite&gt;&lt;Author&gt;Horace&lt;/Author&gt;&lt;Year&gt;2005&lt;/Year&gt;&lt;RecNum&gt;490&lt;/RecNum&gt;&lt;Pages&gt;55&lt;/Pages&gt;&lt;DisplayText&gt;Horace, &lt;style face="italic"&gt;Satires and Epistles&lt;/style&gt;, trans. Niall Rudd (London, England: Penguin, 2005), 55.&lt;/DisplayText&gt;&lt;record&gt;&lt;rec-number&gt;490&lt;/rec-number&gt;&lt;foreign-keys&gt;&lt;key app="EN" db-id="rvzp5afzc2eppgewzt5x0esos0rsevefr9z5" timestamp="1737921137"&gt;490&lt;/key&gt;&lt;/foreign-keys&gt;&lt;ref-type name="Book"&gt;6&lt;/ref-type&gt;&lt;contributors&gt;&lt;authors&gt;&lt;author&gt;Horace&lt;/author&gt;&lt;/authors&gt;&lt;subsidiary-authors&gt;&lt;author&gt;Niall Rudd&lt;/author&gt;&lt;/subsidiary-authors&gt;&lt;/contributors&gt;&lt;titles&gt;&lt;title&gt;Satires and Epistles&lt;/title&gt;&lt;/titles&gt;&lt;dates&gt;&lt;year&gt;2005&lt;/year&gt;&lt;/dates&gt;&lt;pub-location&gt;London, England&lt;/pub-location&gt;&lt;publisher&gt;Penguin&lt;/publisher&gt;&lt;urls&gt;&lt;/urls&gt;&lt;/record&gt;&lt;/Cite&gt;&lt;/EndNote&gt;</w:instrText>
      </w:r>
      <w:r>
        <w:fldChar w:fldCharType="separate"/>
      </w:r>
      <w:r>
        <w:rPr>
          <w:noProof/>
        </w:rPr>
        <w:t xml:space="preserve">Horace, </w:t>
      </w:r>
      <w:r w:rsidRPr="00DF7500">
        <w:rPr>
          <w:i/>
          <w:noProof/>
        </w:rPr>
        <w:t>Satires and Epistles</w:t>
      </w:r>
      <w:r>
        <w:rPr>
          <w:noProof/>
        </w:rPr>
        <w:t>, trans. Niall Rudd (London, England: Penguin, 2005), 55.</w:t>
      </w:r>
      <w:r>
        <w:fldChar w:fldCharType="end"/>
      </w:r>
    </w:p>
  </w:footnote>
  <w:footnote w:id="11">
    <w:p w14:paraId="657AADB9" w14:textId="77777777" w:rsidR="00A50A1E" w:rsidRDefault="00A50A1E" w:rsidP="00A50A1E">
      <w:pPr>
        <w:pStyle w:val="FootnoteText"/>
      </w:pPr>
      <w:r>
        <w:rPr>
          <w:rStyle w:val="FootnoteReference"/>
        </w:rPr>
        <w:footnoteRef/>
      </w:r>
      <w:r>
        <w:t xml:space="preserve"> </w:t>
      </w:r>
      <w:r>
        <w:fldChar w:fldCharType="begin"/>
      </w:r>
      <w:r>
        <w:instrText xml:space="preserve"> ADDIN EN.CITE &lt;EndNote&gt;&lt;Cite&gt;&lt;Author&gt;Johnson&lt;/Author&gt;&lt;Year&gt;2022&lt;/Year&gt;&lt;RecNum&gt;489&lt;/RecNum&gt;&lt;Pages&gt;135-6&lt;/Pages&gt;&lt;DisplayText&gt;Marguerite Johnson, &lt;style face="italic"&gt;Sexuality in Greek and Roman Society and Literature: A Sourcebook&lt;/style&gt;, 2nd ed. (New York, NY: Routledge, 2022), 135-6.&lt;/DisplayText&gt;&lt;record&gt;&lt;rec-number&gt;489&lt;/rec-number&gt;&lt;foreign-keys&gt;&lt;key app="EN" db-id="rvzp5afzc2eppgewzt5x0esos0rsevefr9z5" timestamp="1737898628"&gt;489&lt;/key&gt;&lt;/foreign-keys&gt;&lt;ref-type name="Book"&gt;6&lt;/ref-type&gt;&lt;contributors&gt;&lt;authors&gt;&lt;author&gt;Marguerite Johnson&lt;/author&gt;&lt;/authors&gt;&lt;/contributors&gt;&lt;titles&gt;&lt;title&gt;Sexuality in Greek and Roman Society and Literature: A Sourcebook&lt;/title&gt;&lt;/titles&gt;&lt;edition&gt;2nd&lt;/edition&gt;&lt;dates&gt;&lt;year&gt;2022&lt;/year&gt;&lt;/dates&gt;&lt;pub-location&gt;New York, NY&lt;/pub-location&gt;&lt;publisher&gt;Routledge&lt;/publisher&gt;&lt;urls&gt;&lt;/urls&gt;&lt;/record&gt;&lt;/Cite&gt;&lt;/EndNote&gt;</w:instrText>
      </w:r>
      <w:r>
        <w:fldChar w:fldCharType="separate"/>
      </w:r>
      <w:r>
        <w:rPr>
          <w:noProof/>
        </w:rPr>
        <w:t xml:space="preserve">Marguerite Johnson, </w:t>
      </w:r>
      <w:r w:rsidRPr="00013938">
        <w:rPr>
          <w:i/>
          <w:noProof/>
        </w:rPr>
        <w:t>Sexuality in Greek and Roman Society and Literature: A Sourcebook</w:t>
      </w:r>
      <w:r>
        <w:rPr>
          <w:noProof/>
        </w:rPr>
        <w:t>, 2nd ed. (New York, NY: Routledge, 2022), 135-6.</w:t>
      </w:r>
      <w:r>
        <w:fldChar w:fldCharType="end"/>
      </w:r>
    </w:p>
  </w:footnote>
  <w:footnote w:id="12">
    <w:p w14:paraId="7EF1D4EB" w14:textId="77777777" w:rsidR="00C90A38" w:rsidRDefault="00C90A38" w:rsidP="00C90A38">
      <w:pPr>
        <w:pStyle w:val="FootnoteText"/>
      </w:pPr>
      <w:r>
        <w:rPr>
          <w:rStyle w:val="FootnoteReference"/>
        </w:rPr>
        <w:footnoteRef/>
      </w:r>
      <w:r>
        <w:t xml:space="preserve"> </w:t>
      </w:r>
      <w:r>
        <w:fldChar w:fldCharType="begin"/>
      </w:r>
      <w:r>
        <w:instrText xml:space="preserve"> ADDIN EN.CITE &lt;EndNote&gt;&lt;Cite&gt;&lt;Author&gt;Gill&lt;/Author&gt;&lt;Year&gt;2002&lt;/Year&gt;&lt;RecNum&gt;485&lt;/RecNum&gt;&lt;Pages&gt;133&lt;/Pages&gt;&lt;DisplayText&gt;David W. J. Gill, &amp;quot;1 Corinthians,&amp;quot; in &lt;style face="italic"&gt;Romans to Philemon&lt;/style&gt;, ed. Clinton E. Arnold, vol. 3 (Grand Rapids, MI: Zondervan, 2002), 133.&lt;/DisplayText&gt;&lt;record&gt;&lt;rec-number&gt;485&lt;/rec-number&gt;&lt;foreign-keys&gt;&lt;key app="EN" db-id="rvzp5afzc2eppgewzt5x0esos0rsevefr9z5" timestamp="1737640708"&gt;485&lt;/key&gt;&lt;/foreign-keys&gt;&lt;ref-type name="Book Section"&gt;5&lt;/ref-type&gt;&lt;contributors&gt;&lt;authors&gt;&lt;author&gt;David W. J. Gill&lt;/author&gt;&lt;/authors&gt;&lt;secondary-authors&gt;&lt;author&gt;Clinton E. Arnold&lt;/author&gt;&lt;/secondary-authors&gt;&lt;/contributors&gt;&lt;titles&gt;&lt;title&gt;1 Corinthians&lt;/title&gt;&lt;secondary-title&gt;Romans to Philemon&lt;/secondary-title&gt;&lt;/titles&gt;&lt;volume&gt;3&lt;/volume&gt;&lt;dates&gt;&lt;year&gt;2002&lt;/year&gt;&lt;/dates&gt;&lt;pub-location&gt;Grand Rapids, MI&lt;/pub-location&gt;&lt;publisher&gt;Zondervan&lt;/publisher&gt;&lt;urls&gt;&lt;/urls&gt;&lt;/record&gt;&lt;/Cite&gt;&lt;/EndNote&gt;</w:instrText>
      </w:r>
      <w:r>
        <w:fldChar w:fldCharType="separate"/>
      </w:r>
      <w:r>
        <w:rPr>
          <w:noProof/>
        </w:rPr>
        <w:t xml:space="preserve">David W. J. Gill, "1 Corinthians," in </w:t>
      </w:r>
      <w:r w:rsidRPr="003A549C">
        <w:rPr>
          <w:i/>
          <w:noProof/>
        </w:rPr>
        <w:t>Romans to Philemon</w:t>
      </w:r>
      <w:r>
        <w:rPr>
          <w:noProof/>
        </w:rPr>
        <w:t>, ed. Clinton E. Arnold, vol. 3 (Grand Rapids, MI: Zondervan, 2002), 133.</w:t>
      </w:r>
      <w:r>
        <w:fldChar w:fldCharType="end"/>
      </w:r>
    </w:p>
  </w:footnote>
  <w:footnote w:id="13">
    <w:p w14:paraId="403DA2F4" w14:textId="77777777" w:rsidR="00A83122" w:rsidRDefault="00A83122" w:rsidP="00A83122">
      <w:pPr>
        <w:pStyle w:val="FootnoteText"/>
      </w:pPr>
      <w:r>
        <w:rPr>
          <w:rStyle w:val="FootnoteReference"/>
        </w:rPr>
        <w:footnoteRef/>
      </w:r>
      <w:r>
        <w:t xml:space="preserve"> </w:t>
      </w:r>
      <w:r>
        <w:fldChar w:fldCharType="begin"/>
      </w:r>
      <w:r>
        <w:instrText xml:space="preserve"> ADDIN EN.CITE &lt;EndNote&gt;&lt;Cite&gt;&lt;Author&gt;Smith&lt;/Author&gt;&lt;Year&gt;2008&lt;/Year&gt;&lt;RecNum&gt;500&lt;/RecNum&gt;&lt;Pages&gt;95&lt;/Pages&gt;&lt;DisplayText&gt;Jay E. Smith, &amp;quot;The Roots of a &amp;apos;Libertine&amp;apos; Slogan in 1 Corinthians 6:18,&amp;quot; &lt;style face="italic"&gt;The Journal of Theological Studies&lt;/style&gt; 59, no. 1 (2008): 95.&lt;/DisplayText&gt;&lt;record&gt;&lt;rec-number&gt;500&lt;/rec-number&gt;&lt;foreign-keys&gt;&lt;key app="EN" db-id="rvzp5afzc2eppgewzt5x0esos0rsevefr9z5" timestamp="1737996517"&gt;500&lt;/key&gt;&lt;/foreign-keys&gt;&lt;ref-type name="Journal Article"&gt;17&lt;/ref-type&gt;&lt;contributors&gt;&lt;authors&gt;&lt;author&gt;Jay E. Smith&lt;/author&gt;&lt;/authors&gt;&lt;/contributors&gt;&lt;titles&gt;&lt;title&gt;The Roots of a &amp;apos;Libertine&amp;apos; Slogan in 1 Corinthians 6:18&lt;/title&gt;&lt;secondary-title&gt;The Journal of Theological Studies&lt;/secondary-title&gt;&lt;/titles&gt;&lt;periodical&gt;&lt;full-title&gt;The Journal of Theological Studies&lt;/full-title&gt;&lt;/periodical&gt;&lt;pages&gt;63-95&lt;/pages&gt;&lt;volume&gt;59&lt;/volume&gt;&lt;number&gt;1&lt;/number&gt;&lt;dates&gt;&lt;year&gt;2008&lt;/year&gt;&lt;/dates&gt;&lt;urls&gt;&lt;/urls&gt;&lt;/record&gt;&lt;/Cite&gt;&lt;/EndNote&gt;</w:instrText>
      </w:r>
      <w:r>
        <w:fldChar w:fldCharType="separate"/>
      </w:r>
      <w:r>
        <w:rPr>
          <w:noProof/>
        </w:rPr>
        <w:t xml:space="preserve">Jay E. Smith, "The Roots of a 'Libertine' Slogan in 1 Corinthians 6:18," </w:t>
      </w:r>
      <w:r w:rsidRPr="00B96D97">
        <w:rPr>
          <w:i/>
          <w:noProof/>
        </w:rPr>
        <w:t>The Journal of Theological Studies</w:t>
      </w:r>
      <w:r>
        <w:rPr>
          <w:noProof/>
        </w:rPr>
        <w:t xml:space="preserve"> 59, no. 1 (2008): 95.</w:t>
      </w:r>
      <w:r>
        <w:fldChar w:fldCharType="end"/>
      </w:r>
    </w:p>
  </w:footnote>
  <w:footnote w:id="14">
    <w:p w14:paraId="1FE99DBC" w14:textId="77777777" w:rsidR="00EA68C5" w:rsidRDefault="00EA68C5" w:rsidP="00EA68C5">
      <w:pPr>
        <w:pStyle w:val="FootnoteText"/>
      </w:pPr>
      <w:r>
        <w:rPr>
          <w:rStyle w:val="FootnoteReference"/>
        </w:rPr>
        <w:footnoteRef/>
      </w:r>
      <w:r>
        <w:t xml:space="preserve"> </w:t>
      </w:r>
      <w:r>
        <w:fldChar w:fldCharType="begin"/>
      </w:r>
      <w:r>
        <w:instrText xml:space="preserve"> ADDIN EN.CITE &lt;EndNote&gt;&lt;Cite&gt;&lt;Author&gt;Cicero&lt;/Author&gt;&lt;Year&gt;1970&lt;/Year&gt;&lt;RecNum&gt;494&lt;/RecNum&gt;&lt;Pages&gt;465-7&lt;/Pages&gt;&lt;DisplayText&gt;Marcus Tullius Cicero, &lt;style face="italic"&gt;Pro Caelio, De Provinciis Consularibus, Pro Balbo&lt;/style&gt;, trans. R. Gardner, &lt;style face="italic"&gt;Loeb Classical Library&lt;/style&gt; (London, England: William Heinemann, 1970), 465-7.&lt;/DisplayText&gt;&lt;record&gt;&lt;rec-number&gt;494&lt;/rec-number&gt;&lt;foreign-keys&gt;&lt;key app="EN" db-id="rvzp5afzc2eppgewzt5x0esos0rsevefr9z5" timestamp="1737929410"&gt;494&lt;/key&gt;&lt;/foreign-keys&gt;&lt;ref-type name="Book"&gt;6&lt;/ref-type&gt;&lt;contributors&gt;&lt;authors&gt;&lt;author&gt;Marcus Tullius Cicero&lt;/author&gt;&lt;/authors&gt;&lt;subsidiary-authors&gt;&lt;author&gt;R. Gardner&lt;/author&gt;&lt;/subsidiary-authors&gt;&lt;/contributors&gt;&lt;titles&gt;&lt;title&gt;Pro Caelio, De Provinciis Consularibus, Pro Balbo&lt;/title&gt;&lt;secondary-title&gt;Loeb Classical Library&lt;/secondary-title&gt;&lt;/titles&gt;&lt;dates&gt;&lt;year&gt;1970&lt;/year&gt;&lt;/dates&gt;&lt;pub-location&gt;London, England&lt;/pub-location&gt;&lt;publisher&gt;William Heinemann&lt;/publisher&gt;&lt;urls&gt;&lt;/urls&gt;&lt;/record&gt;&lt;/Cite&gt;&lt;/EndNote&gt;</w:instrText>
      </w:r>
      <w:r>
        <w:fldChar w:fldCharType="separate"/>
      </w:r>
      <w:r>
        <w:rPr>
          <w:noProof/>
        </w:rPr>
        <w:t xml:space="preserve">Marcus Tullius Cicero, </w:t>
      </w:r>
      <w:r w:rsidRPr="00BC2064">
        <w:rPr>
          <w:i/>
          <w:noProof/>
        </w:rPr>
        <w:t>Pro Caelio, De Provinciis Consularibus, Pro Balbo</w:t>
      </w:r>
      <w:r>
        <w:rPr>
          <w:noProof/>
        </w:rPr>
        <w:t xml:space="preserve">, trans. R. Gardner, </w:t>
      </w:r>
      <w:r w:rsidRPr="00BC2064">
        <w:rPr>
          <w:i/>
          <w:noProof/>
        </w:rPr>
        <w:t>Loeb Classical Library</w:t>
      </w:r>
      <w:r>
        <w:rPr>
          <w:noProof/>
        </w:rPr>
        <w:t xml:space="preserve"> (London, England: William Heinemann, 1970), 465-7.</w:t>
      </w:r>
      <w:r>
        <w:fldChar w:fldCharType="end"/>
      </w:r>
    </w:p>
  </w:footnote>
  <w:footnote w:id="15">
    <w:p w14:paraId="34C341FB" w14:textId="5274E86E" w:rsidR="00EA68C5" w:rsidRDefault="00EA68C5" w:rsidP="00EA68C5">
      <w:pPr>
        <w:pStyle w:val="FootnoteText"/>
      </w:pPr>
      <w:r>
        <w:rPr>
          <w:rStyle w:val="FootnoteReference"/>
        </w:rPr>
        <w:footnoteRef/>
      </w:r>
      <w:r>
        <w:t xml:space="preserve"> </w:t>
      </w:r>
      <w:r>
        <w:fldChar w:fldCharType="begin"/>
      </w:r>
      <w:r w:rsidR="00F3354D">
        <w:instrText xml:space="preserve"> ADDIN EN.CITE &lt;EndNote&gt;&lt;Cite&gt;&lt;Author&gt;Winter&lt;/Author&gt;&lt;RecNum&gt;493&lt;/RecNum&gt;&lt;Pages&gt;88`, 91-2&lt;/Pages&gt;&lt;DisplayText&gt;Bruce W. Winter, &lt;style face="italic"&gt;After Paul Left Corinth&lt;/style&gt; (Grand Rapids, MI: Eerdmans), 88, 91-2.&lt;/DisplayText&gt;&lt;record&gt;&lt;rec-number&gt;493&lt;/rec-number&gt;&lt;foreign-keys&gt;&lt;key app="EN" db-id="rvzp5afzc2eppgewzt5x0esos0rsevefr9z5" timestamp="1737927942"&gt;493&lt;/key&gt;&lt;/foreign-keys&gt;&lt;ref-type name="Book"&gt;6&lt;/ref-type&gt;&lt;contributors&gt;&lt;authors&gt;&lt;author&gt;Bruce W. Winter&lt;/author&gt;&lt;/authors&gt;&lt;/contributors&gt;&lt;titles&gt;&lt;title&gt;After Paul Left Corinth&lt;/title&gt;&lt;/titles&gt;&lt;dates&gt;&lt;/dates&gt;&lt;pub-location&gt;Grand Rapids, MI&lt;/pub-location&gt;&lt;publisher&gt;Eerdmans&lt;/publisher&gt;&lt;urls&gt;&lt;/urls&gt;&lt;/record&gt;&lt;/Cite&gt;&lt;/EndNote&gt;</w:instrText>
      </w:r>
      <w:r>
        <w:fldChar w:fldCharType="separate"/>
      </w:r>
      <w:r w:rsidR="00F3354D">
        <w:rPr>
          <w:noProof/>
        </w:rPr>
        <w:t xml:space="preserve">Bruce W. Winter, </w:t>
      </w:r>
      <w:r w:rsidR="00F3354D" w:rsidRPr="00F3354D">
        <w:rPr>
          <w:i/>
          <w:noProof/>
        </w:rPr>
        <w:t>After Paul Left Corinth</w:t>
      </w:r>
      <w:r w:rsidR="00F3354D">
        <w:rPr>
          <w:noProof/>
        </w:rPr>
        <w:t xml:space="preserve"> (Grand Rapids, MI: Eerdmans), 88, 91-2.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148"/>
    <w:multiLevelType w:val="multilevel"/>
    <w:tmpl w:val="99782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374F"/>
    <w:multiLevelType w:val="multilevel"/>
    <w:tmpl w:val="F75E9B10"/>
    <w:lvl w:ilvl="0">
      <w:start w:val="1"/>
      <w:numFmt w:val="bullet"/>
      <w:lvlText w:val="­"/>
      <w:lvlJc w:val="left"/>
      <w:pPr>
        <w:tabs>
          <w:tab w:val="num" w:pos="720"/>
        </w:tabs>
        <w:ind w:left="720" w:hanging="360"/>
      </w:pPr>
      <w:rPr>
        <w:rFonts w:ascii="Palatino Linotype" w:hAnsi="Palatino Linotype"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739FA"/>
    <w:multiLevelType w:val="hybridMultilevel"/>
    <w:tmpl w:val="C7326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97263"/>
    <w:multiLevelType w:val="hybridMultilevel"/>
    <w:tmpl w:val="239A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7639F"/>
    <w:multiLevelType w:val="hybridMultilevel"/>
    <w:tmpl w:val="B84C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61996"/>
    <w:multiLevelType w:val="hybridMultilevel"/>
    <w:tmpl w:val="616A8B3A"/>
    <w:lvl w:ilvl="0" w:tplc="E89AECE2">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F142B"/>
    <w:multiLevelType w:val="hybridMultilevel"/>
    <w:tmpl w:val="B5EE06DC"/>
    <w:lvl w:ilvl="0" w:tplc="EB48A678">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B16E2"/>
    <w:multiLevelType w:val="hybridMultilevel"/>
    <w:tmpl w:val="81FE5DC8"/>
    <w:lvl w:ilvl="0" w:tplc="A0D81232">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B03E7"/>
    <w:multiLevelType w:val="hybridMultilevel"/>
    <w:tmpl w:val="06EE43F4"/>
    <w:lvl w:ilvl="0" w:tplc="B7967522">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A7F49"/>
    <w:multiLevelType w:val="hybridMultilevel"/>
    <w:tmpl w:val="A1A00D5C"/>
    <w:lvl w:ilvl="0" w:tplc="1298D584">
      <w:start w:val="1"/>
      <w:numFmt w:val="bullet"/>
      <w:lvlText w:val="-"/>
      <w:lvlJc w:val="left"/>
      <w:pPr>
        <w:ind w:left="360" w:hanging="360"/>
      </w:pPr>
      <w:rPr>
        <w:rFonts w:ascii="Palatino Linotype" w:eastAsiaTheme="minorHAnsi" w:hAnsi="Palatino Linotype"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936189"/>
    <w:multiLevelType w:val="hybridMultilevel"/>
    <w:tmpl w:val="1616C5F8"/>
    <w:lvl w:ilvl="0" w:tplc="65909F6A">
      <w:start w:val="5"/>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6073E"/>
    <w:multiLevelType w:val="hybridMultilevel"/>
    <w:tmpl w:val="1D5E2708"/>
    <w:lvl w:ilvl="0" w:tplc="6042302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03565"/>
    <w:multiLevelType w:val="hybridMultilevel"/>
    <w:tmpl w:val="FD5E882C"/>
    <w:lvl w:ilvl="0" w:tplc="5FA6C0F4">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363D9"/>
    <w:multiLevelType w:val="hybridMultilevel"/>
    <w:tmpl w:val="791A6C8E"/>
    <w:lvl w:ilvl="0" w:tplc="B7967522">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465232">
    <w:abstractNumId w:val="11"/>
  </w:num>
  <w:num w:numId="2" w16cid:durableId="366024332">
    <w:abstractNumId w:val="3"/>
  </w:num>
  <w:num w:numId="3" w16cid:durableId="201672750">
    <w:abstractNumId w:val="4"/>
  </w:num>
  <w:num w:numId="4" w16cid:durableId="1341548737">
    <w:abstractNumId w:val="6"/>
  </w:num>
  <w:num w:numId="5" w16cid:durableId="400837258">
    <w:abstractNumId w:val="0"/>
  </w:num>
  <w:num w:numId="6" w16cid:durableId="179661367">
    <w:abstractNumId w:val="1"/>
  </w:num>
  <w:num w:numId="7" w16cid:durableId="805782467">
    <w:abstractNumId w:val="8"/>
  </w:num>
  <w:num w:numId="8" w16cid:durableId="1534733433">
    <w:abstractNumId w:val="2"/>
  </w:num>
  <w:num w:numId="9" w16cid:durableId="144443935">
    <w:abstractNumId w:val="13"/>
  </w:num>
  <w:num w:numId="10" w16cid:durableId="824399637">
    <w:abstractNumId w:val="9"/>
  </w:num>
  <w:num w:numId="11" w16cid:durableId="209727360">
    <w:abstractNumId w:val="5"/>
  </w:num>
  <w:num w:numId="12" w16cid:durableId="558053845">
    <w:abstractNumId w:val="7"/>
  </w:num>
  <w:num w:numId="13" w16cid:durableId="716274814">
    <w:abstractNumId w:val="10"/>
  </w:num>
  <w:num w:numId="14" w16cid:durableId="1681928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zp5afzc2eppgewzt5x0esos0rsevefr9z5&quot;&gt;LHIMLibrary&amp;apos;22&lt;record-ids&gt;&lt;item&gt;363&lt;/item&gt;&lt;item&gt;454&lt;/item&gt;&lt;item&gt;463&lt;/item&gt;&lt;item&gt;485&lt;/item&gt;&lt;item&gt;486&lt;/item&gt;&lt;item&gt;487&lt;/item&gt;&lt;item&gt;489&lt;/item&gt;&lt;item&gt;490&lt;/item&gt;&lt;item&gt;493&lt;/item&gt;&lt;item&gt;494&lt;/item&gt;&lt;item&gt;495&lt;/item&gt;&lt;item&gt;496&lt;/item&gt;&lt;item&gt;497&lt;/item&gt;&lt;item&gt;499&lt;/item&gt;&lt;item&gt;500&lt;/item&gt;&lt;/record-ids&gt;&lt;/item&gt;&lt;/Libraries&gt;"/>
  </w:docVars>
  <w:rsids>
    <w:rsidRoot w:val="005948AF"/>
    <w:rsid w:val="00024F78"/>
    <w:rsid w:val="000337D5"/>
    <w:rsid w:val="000717FC"/>
    <w:rsid w:val="00076790"/>
    <w:rsid w:val="00077960"/>
    <w:rsid w:val="00081649"/>
    <w:rsid w:val="000957D8"/>
    <w:rsid w:val="000B7653"/>
    <w:rsid w:val="000B792F"/>
    <w:rsid w:val="000C3E88"/>
    <w:rsid w:val="000D0842"/>
    <w:rsid w:val="000E4D4D"/>
    <w:rsid w:val="001178E9"/>
    <w:rsid w:val="00133077"/>
    <w:rsid w:val="001417AE"/>
    <w:rsid w:val="00143587"/>
    <w:rsid w:val="00143872"/>
    <w:rsid w:val="001539AE"/>
    <w:rsid w:val="001778A8"/>
    <w:rsid w:val="001A2187"/>
    <w:rsid w:val="001A5768"/>
    <w:rsid w:val="001F1BB6"/>
    <w:rsid w:val="00223234"/>
    <w:rsid w:val="0022440F"/>
    <w:rsid w:val="0026169B"/>
    <w:rsid w:val="00274138"/>
    <w:rsid w:val="00276715"/>
    <w:rsid w:val="0029557B"/>
    <w:rsid w:val="002A6BC4"/>
    <w:rsid w:val="002B1DC7"/>
    <w:rsid w:val="002B3C9B"/>
    <w:rsid w:val="002C45F1"/>
    <w:rsid w:val="002C6089"/>
    <w:rsid w:val="002D089A"/>
    <w:rsid w:val="002D2489"/>
    <w:rsid w:val="00303EB7"/>
    <w:rsid w:val="00304D66"/>
    <w:rsid w:val="0031259A"/>
    <w:rsid w:val="003354F6"/>
    <w:rsid w:val="0035207E"/>
    <w:rsid w:val="0036010C"/>
    <w:rsid w:val="0036571C"/>
    <w:rsid w:val="003920C5"/>
    <w:rsid w:val="003F31EC"/>
    <w:rsid w:val="00411056"/>
    <w:rsid w:val="00411417"/>
    <w:rsid w:val="00412E76"/>
    <w:rsid w:val="004367BF"/>
    <w:rsid w:val="0045102B"/>
    <w:rsid w:val="004E2382"/>
    <w:rsid w:val="005057C5"/>
    <w:rsid w:val="00522FD5"/>
    <w:rsid w:val="00544928"/>
    <w:rsid w:val="005506C3"/>
    <w:rsid w:val="00570AAB"/>
    <w:rsid w:val="00585051"/>
    <w:rsid w:val="005948AF"/>
    <w:rsid w:val="005971F1"/>
    <w:rsid w:val="005B1AD9"/>
    <w:rsid w:val="005B4E4A"/>
    <w:rsid w:val="005C5F8A"/>
    <w:rsid w:val="00610CC6"/>
    <w:rsid w:val="00621241"/>
    <w:rsid w:val="006930AF"/>
    <w:rsid w:val="006A12FE"/>
    <w:rsid w:val="006C68C3"/>
    <w:rsid w:val="006E7792"/>
    <w:rsid w:val="006F112C"/>
    <w:rsid w:val="00714EAF"/>
    <w:rsid w:val="00723B6A"/>
    <w:rsid w:val="00726F52"/>
    <w:rsid w:val="00734F42"/>
    <w:rsid w:val="00760169"/>
    <w:rsid w:val="0076029C"/>
    <w:rsid w:val="00786BB0"/>
    <w:rsid w:val="00794838"/>
    <w:rsid w:val="00794EB2"/>
    <w:rsid w:val="007A2153"/>
    <w:rsid w:val="007A2218"/>
    <w:rsid w:val="007A454F"/>
    <w:rsid w:val="007A6D69"/>
    <w:rsid w:val="007B21F6"/>
    <w:rsid w:val="007B5ABD"/>
    <w:rsid w:val="007C47CF"/>
    <w:rsid w:val="007C5773"/>
    <w:rsid w:val="007D3894"/>
    <w:rsid w:val="007D7CCC"/>
    <w:rsid w:val="007E20AD"/>
    <w:rsid w:val="00816265"/>
    <w:rsid w:val="00827219"/>
    <w:rsid w:val="008274D5"/>
    <w:rsid w:val="00843644"/>
    <w:rsid w:val="00893CAF"/>
    <w:rsid w:val="008B4106"/>
    <w:rsid w:val="008C42B4"/>
    <w:rsid w:val="008E5DFA"/>
    <w:rsid w:val="008F638D"/>
    <w:rsid w:val="00926166"/>
    <w:rsid w:val="009A6AB9"/>
    <w:rsid w:val="009A74B8"/>
    <w:rsid w:val="009B16BE"/>
    <w:rsid w:val="009C3FBA"/>
    <w:rsid w:val="009C7508"/>
    <w:rsid w:val="009C75FF"/>
    <w:rsid w:val="00A02F2F"/>
    <w:rsid w:val="00A446BA"/>
    <w:rsid w:val="00A50A1E"/>
    <w:rsid w:val="00A64EAB"/>
    <w:rsid w:val="00A72B69"/>
    <w:rsid w:val="00A82C34"/>
    <w:rsid w:val="00A83122"/>
    <w:rsid w:val="00A93E89"/>
    <w:rsid w:val="00AB5C7F"/>
    <w:rsid w:val="00AD63D5"/>
    <w:rsid w:val="00B058E2"/>
    <w:rsid w:val="00B46597"/>
    <w:rsid w:val="00B7794E"/>
    <w:rsid w:val="00B81EE1"/>
    <w:rsid w:val="00B82A81"/>
    <w:rsid w:val="00B8432C"/>
    <w:rsid w:val="00B86E06"/>
    <w:rsid w:val="00B9288F"/>
    <w:rsid w:val="00BB3A55"/>
    <w:rsid w:val="00BD667A"/>
    <w:rsid w:val="00BE596E"/>
    <w:rsid w:val="00BF618C"/>
    <w:rsid w:val="00C019AB"/>
    <w:rsid w:val="00C028A7"/>
    <w:rsid w:val="00C23122"/>
    <w:rsid w:val="00C24BA6"/>
    <w:rsid w:val="00C81077"/>
    <w:rsid w:val="00C819C6"/>
    <w:rsid w:val="00C90151"/>
    <w:rsid w:val="00C90A38"/>
    <w:rsid w:val="00CC6B92"/>
    <w:rsid w:val="00CD61F0"/>
    <w:rsid w:val="00CF5ED3"/>
    <w:rsid w:val="00D025E6"/>
    <w:rsid w:val="00D26D21"/>
    <w:rsid w:val="00D35E6B"/>
    <w:rsid w:val="00D41829"/>
    <w:rsid w:val="00D865CE"/>
    <w:rsid w:val="00DB036D"/>
    <w:rsid w:val="00DB4C30"/>
    <w:rsid w:val="00DE3F16"/>
    <w:rsid w:val="00E2465F"/>
    <w:rsid w:val="00E37EFC"/>
    <w:rsid w:val="00E821DD"/>
    <w:rsid w:val="00EA68C5"/>
    <w:rsid w:val="00EB317F"/>
    <w:rsid w:val="00ED513E"/>
    <w:rsid w:val="00F02E97"/>
    <w:rsid w:val="00F1295E"/>
    <w:rsid w:val="00F3354D"/>
    <w:rsid w:val="00F43EC1"/>
    <w:rsid w:val="00F4620D"/>
    <w:rsid w:val="00F55A24"/>
    <w:rsid w:val="00F6382B"/>
    <w:rsid w:val="00F63CF2"/>
    <w:rsid w:val="00F74448"/>
    <w:rsid w:val="00F96BFA"/>
    <w:rsid w:val="00FA57F8"/>
    <w:rsid w:val="00FA6A0E"/>
    <w:rsid w:val="00FC77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9655"/>
  <w15:chartTrackingRefBased/>
  <w15:docId w15:val="{19057986-178A-48CF-89DB-E62011FC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AF"/>
  </w:style>
  <w:style w:type="paragraph" w:styleId="Footer">
    <w:name w:val="footer"/>
    <w:basedOn w:val="Normal"/>
    <w:link w:val="FooterChar"/>
    <w:uiPriority w:val="99"/>
    <w:unhideWhenUsed/>
    <w:rsid w:val="00693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AF"/>
  </w:style>
  <w:style w:type="paragraph" w:styleId="ListParagraph">
    <w:name w:val="List Paragraph"/>
    <w:basedOn w:val="Normal"/>
    <w:uiPriority w:val="34"/>
    <w:qFormat/>
    <w:rsid w:val="005948AF"/>
    <w:pPr>
      <w:ind w:left="720"/>
      <w:contextualSpacing/>
    </w:pPr>
  </w:style>
  <w:style w:type="paragraph" w:styleId="FootnoteText">
    <w:name w:val="footnote text"/>
    <w:basedOn w:val="Normal"/>
    <w:link w:val="FootnoteTextChar"/>
    <w:uiPriority w:val="99"/>
    <w:semiHidden/>
    <w:unhideWhenUsed/>
    <w:rsid w:val="00594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8AF"/>
    <w:rPr>
      <w:sz w:val="20"/>
      <w:szCs w:val="20"/>
    </w:rPr>
  </w:style>
  <w:style w:type="character" w:styleId="FootnoteReference">
    <w:name w:val="footnote reference"/>
    <w:basedOn w:val="DefaultParagraphFont"/>
    <w:uiPriority w:val="99"/>
    <w:semiHidden/>
    <w:unhideWhenUsed/>
    <w:rsid w:val="005948AF"/>
    <w:rPr>
      <w:vertAlign w:val="superscript"/>
    </w:rPr>
  </w:style>
  <w:style w:type="character" w:styleId="Hyperlink">
    <w:name w:val="Hyperlink"/>
    <w:basedOn w:val="DefaultParagraphFont"/>
    <w:uiPriority w:val="99"/>
    <w:unhideWhenUsed/>
    <w:rsid w:val="005948AF"/>
    <w:rPr>
      <w:color w:val="0563C1" w:themeColor="hyperlink"/>
      <w:u w:val="single"/>
    </w:rPr>
  </w:style>
  <w:style w:type="paragraph" w:customStyle="1" w:styleId="EndNoteBibliographyTitle">
    <w:name w:val="EndNote Bibliography Title"/>
    <w:basedOn w:val="Normal"/>
    <w:link w:val="EndNoteBibliographyTitleChar"/>
    <w:rsid w:val="00CD61F0"/>
    <w:pPr>
      <w:spacing w:after="0"/>
      <w:jc w:val="center"/>
    </w:pPr>
    <w:rPr>
      <w:rFonts w:ascii="Calibri" w:hAnsi="Calibri" w:cs="Calibri"/>
      <w:noProof/>
    </w:rPr>
  </w:style>
  <w:style w:type="character" w:customStyle="1" w:styleId="EndNoteBibliographyTitleChar">
    <w:name w:val="EndNote Bibliography Title Char"/>
    <w:basedOn w:val="FootnoteTextChar"/>
    <w:link w:val="EndNoteBibliographyTitle"/>
    <w:rsid w:val="00CD61F0"/>
    <w:rPr>
      <w:rFonts w:ascii="Calibri" w:hAnsi="Calibri" w:cs="Calibri"/>
      <w:noProof/>
      <w:sz w:val="20"/>
      <w:szCs w:val="20"/>
    </w:rPr>
  </w:style>
  <w:style w:type="paragraph" w:customStyle="1" w:styleId="EndNoteBibliography">
    <w:name w:val="EndNote Bibliography"/>
    <w:basedOn w:val="Normal"/>
    <w:link w:val="EndNoteBibliographyChar"/>
    <w:rsid w:val="00CD61F0"/>
    <w:pPr>
      <w:spacing w:line="240" w:lineRule="auto"/>
    </w:pPr>
    <w:rPr>
      <w:rFonts w:ascii="Calibri" w:hAnsi="Calibri" w:cs="Calibri"/>
      <w:noProof/>
    </w:rPr>
  </w:style>
  <w:style w:type="character" w:customStyle="1" w:styleId="EndNoteBibliographyChar">
    <w:name w:val="EndNote Bibliography Char"/>
    <w:basedOn w:val="FootnoteTextChar"/>
    <w:link w:val="EndNoteBibliography"/>
    <w:rsid w:val="00CD61F0"/>
    <w:rPr>
      <w:rFonts w:ascii="Calibri" w:hAnsi="Calibri" w:cs="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44811">
      <w:bodyDiv w:val="1"/>
      <w:marLeft w:val="0"/>
      <w:marRight w:val="0"/>
      <w:marTop w:val="0"/>
      <w:marBottom w:val="0"/>
      <w:divBdr>
        <w:top w:val="none" w:sz="0" w:space="0" w:color="auto"/>
        <w:left w:val="none" w:sz="0" w:space="0" w:color="auto"/>
        <w:bottom w:val="none" w:sz="0" w:space="0" w:color="auto"/>
        <w:right w:val="none" w:sz="0" w:space="0" w:color="auto"/>
      </w:divBdr>
    </w:div>
    <w:div w:id="660305846">
      <w:bodyDiv w:val="1"/>
      <w:marLeft w:val="0"/>
      <w:marRight w:val="0"/>
      <w:marTop w:val="0"/>
      <w:marBottom w:val="0"/>
      <w:divBdr>
        <w:top w:val="none" w:sz="0" w:space="0" w:color="auto"/>
        <w:left w:val="none" w:sz="0" w:space="0" w:color="auto"/>
        <w:bottom w:val="none" w:sz="0" w:space="0" w:color="auto"/>
        <w:right w:val="none" w:sz="0" w:space="0" w:color="auto"/>
      </w:divBdr>
    </w:div>
    <w:div w:id="167221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Finnegan</dc:creator>
  <cp:keywords/>
  <dc:description/>
  <cp:lastModifiedBy>Mimi Finnegan</cp:lastModifiedBy>
  <cp:revision>2</cp:revision>
  <dcterms:created xsi:type="dcterms:W3CDTF">2025-01-28T18:47:00Z</dcterms:created>
  <dcterms:modified xsi:type="dcterms:W3CDTF">2025-01-28T18:47:00Z</dcterms:modified>
</cp:coreProperties>
</file>