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B411" w14:textId="4D9C76DC" w:rsidR="005948AF" w:rsidRPr="005948AF" w:rsidRDefault="00230346" w:rsidP="004441C3">
      <w:pPr>
        <w:contextualSpacing/>
        <w:rPr>
          <w:rFonts w:ascii="Palatino Linotype" w:hAnsi="Palatino Linotype"/>
          <w:b/>
          <w:bCs/>
          <w:sz w:val="40"/>
          <w:szCs w:val="40"/>
        </w:rPr>
      </w:pPr>
      <w:r>
        <w:rPr>
          <w:rFonts w:ascii="Palatino Linotype" w:hAnsi="Palatino Linotype"/>
          <w:b/>
          <w:bCs/>
          <w:sz w:val="40"/>
          <w:szCs w:val="40"/>
        </w:rPr>
        <w:t>6 Homosexuality and Singleness in 1 Corinthians</w:t>
      </w:r>
    </w:p>
    <w:p w14:paraId="42AC9AF2" w14:textId="12E7FF13" w:rsidR="005948AF" w:rsidRDefault="007B76F5" w:rsidP="004441C3">
      <w:pPr>
        <w:contextualSpacing/>
        <w:rPr>
          <w:rFonts w:ascii="Palatino Linotype" w:hAnsi="Palatino Linotype"/>
          <w:sz w:val="24"/>
          <w:szCs w:val="24"/>
        </w:rPr>
      </w:pPr>
      <w:r>
        <w:rPr>
          <w:rFonts w:ascii="Palatino Linotype" w:hAnsi="Palatino Linotype"/>
          <w:sz w:val="24"/>
          <w:szCs w:val="24"/>
        </w:rPr>
        <w:t>1 Corinthians 6:9-10</w:t>
      </w:r>
    </w:p>
    <w:p w14:paraId="4234289A" w14:textId="77777777" w:rsidR="007B76F5" w:rsidRDefault="007B76F5" w:rsidP="004441C3">
      <w:pPr>
        <w:contextualSpacing/>
        <w:rPr>
          <w:rFonts w:ascii="Palatino Linotype" w:hAnsi="Palatino Linotype"/>
          <w:sz w:val="24"/>
          <w:szCs w:val="24"/>
        </w:rPr>
      </w:pPr>
    </w:p>
    <w:p w14:paraId="4465DDB3" w14:textId="2660914B" w:rsidR="00C019AB" w:rsidRDefault="006152BC" w:rsidP="004441C3">
      <w:pPr>
        <w:contextualSpacing/>
        <w:rPr>
          <w:rFonts w:ascii="Palatino Linotype" w:hAnsi="Palatino Linotype"/>
          <w:sz w:val="24"/>
          <w:szCs w:val="24"/>
        </w:rPr>
      </w:pPr>
      <w:r>
        <w:rPr>
          <w:rFonts w:ascii="Palatino Linotype" w:hAnsi="Palatino Linotype"/>
          <w:sz w:val="24"/>
          <w:szCs w:val="24"/>
        </w:rPr>
        <w:t xml:space="preserve">Greek and Roman </w:t>
      </w:r>
      <w:r w:rsidR="00230346">
        <w:rPr>
          <w:rFonts w:ascii="Palatino Linotype" w:hAnsi="Palatino Linotype"/>
          <w:sz w:val="24"/>
          <w:szCs w:val="24"/>
        </w:rPr>
        <w:t>Pederasty</w:t>
      </w:r>
    </w:p>
    <w:p w14:paraId="62A776F0" w14:textId="2951980F" w:rsidR="00230346" w:rsidRDefault="000555E7"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The Greeks had institutionalized consensual pedophilia between citizens of equal rank. An older man would </w:t>
      </w:r>
      <w:r w:rsidR="0066253D">
        <w:rPr>
          <w:rFonts w:ascii="Palatino Linotype" w:hAnsi="Palatino Linotype"/>
          <w:sz w:val="24"/>
          <w:szCs w:val="24"/>
        </w:rPr>
        <w:t>enter</w:t>
      </w:r>
      <w:r>
        <w:rPr>
          <w:rFonts w:ascii="Palatino Linotype" w:hAnsi="Palatino Linotype"/>
          <w:sz w:val="24"/>
          <w:szCs w:val="24"/>
        </w:rPr>
        <w:t xml:space="preserve"> a sexual relationship with a preadolescent boy that included mentoring and, ultimately, business opportunities. </w:t>
      </w:r>
      <w:r w:rsidR="008627BA">
        <w:rPr>
          <w:rFonts w:ascii="Palatino Linotype" w:hAnsi="Palatino Linotype"/>
          <w:sz w:val="24"/>
          <w:szCs w:val="24"/>
        </w:rPr>
        <w:t xml:space="preserve">The Romans likewise practiced pederasty, but </w:t>
      </w:r>
      <w:r w:rsidR="005F4B0C">
        <w:rPr>
          <w:rFonts w:ascii="Palatino Linotype" w:hAnsi="Palatino Linotype"/>
          <w:sz w:val="24"/>
          <w:szCs w:val="24"/>
        </w:rPr>
        <w:t xml:space="preserve">never within the same rank and not for the purposes of helping the child’s future. </w:t>
      </w:r>
    </w:p>
    <w:p w14:paraId="1B47E026" w14:textId="5AADFDEF" w:rsidR="006D0614" w:rsidRDefault="006D0614" w:rsidP="004441C3">
      <w:pPr>
        <w:pStyle w:val="ListParagraph"/>
        <w:numPr>
          <w:ilvl w:val="0"/>
          <w:numId w:val="13"/>
        </w:numPr>
        <w:rPr>
          <w:rFonts w:ascii="Palatino Linotype" w:hAnsi="Palatino Linotype"/>
          <w:sz w:val="24"/>
          <w:szCs w:val="24"/>
        </w:rPr>
      </w:pPr>
      <w:r w:rsidRPr="006D0614">
        <w:rPr>
          <w:rFonts w:ascii="Palatino Linotype" w:hAnsi="Palatino Linotype"/>
          <w:sz w:val="24"/>
          <w:szCs w:val="24"/>
        </w:rPr>
        <w:t>Moyer Hubbard: “[P]</w:t>
      </w:r>
      <w:proofErr w:type="spellStart"/>
      <w:r w:rsidRPr="006D0614">
        <w:rPr>
          <w:rFonts w:ascii="Palatino Linotype" w:hAnsi="Palatino Linotype"/>
          <w:sz w:val="24"/>
          <w:szCs w:val="24"/>
        </w:rPr>
        <w:t>ederasty</w:t>
      </w:r>
      <w:proofErr w:type="spellEnd"/>
      <w:r w:rsidRPr="006D0614">
        <w:rPr>
          <w:rFonts w:ascii="Palatino Linotype" w:hAnsi="Palatino Linotype"/>
          <w:sz w:val="24"/>
          <w:szCs w:val="24"/>
        </w:rPr>
        <w:t xml:space="preserve"> was also widely practiced and was considered an acceptable form of sexual expression between an adult male and a prepubescent teen, usually of lower social rank. A common subject for Martial’s epigrammatic wit is lamenting the boy who matures and turns to heterosexual relations; other times he simply extols the delights of pederasty. Indeed, in Martial’s circles, pedophilia was so pervasive that he warns young men about to marry that they had better visit the prostitute’s district and find someone who will train them to enjoy women. … [M]</w:t>
      </w:r>
      <w:proofErr w:type="spellStart"/>
      <w:r w:rsidRPr="006D0614">
        <w:rPr>
          <w:rFonts w:ascii="Palatino Linotype" w:hAnsi="Palatino Linotype"/>
          <w:sz w:val="24"/>
          <w:szCs w:val="24"/>
        </w:rPr>
        <w:t>arriage</w:t>
      </w:r>
      <w:proofErr w:type="spellEnd"/>
      <w:r w:rsidRPr="006D0614">
        <w:rPr>
          <w:rFonts w:ascii="Palatino Linotype" w:hAnsi="Palatino Linotype"/>
          <w:sz w:val="24"/>
          <w:szCs w:val="24"/>
        </w:rPr>
        <w:t xml:space="preserve"> contracts often contained a stipulation against bringing a boy-lover into the home.”</w:t>
      </w:r>
      <w:r w:rsidRPr="006D0614">
        <w:rPr>
          <w:rFonts w:ascii="Palatino Linotype" w:hAnsi="Palatino Linotype"/>
          <w:sz w:val="24"/>
          <w:szCs w:val="24"/>
          <w:vertAlign w:val="superscript"/>
        </w:rPr>
        <w:footnoteReference w:id="1"/>
      </w:r>
    </w:p>
    <w:p w14:paraId="08F83D49" w14:textId="6D94BED6" w:rsidR="006D0614" w:rsidRDefault="006D0614" w:rsidP="004441C3">
      <w:pPr>
        <w:pStyle w:val="ListParagraph"/>
        <w:numPr>
          <w:ilvl w:val="0"/>
          <w:numId w:val="13"/>
        </w:numPr>
        <w:rPr>
          <w:rFonts w:ascii="Palatino Linotype" w:hAnsi="Palatino Linotype"/>
          <w:sz w:val="24"/>
          <w:szCs w:val="24"/>
        </w:rPr>
      </w:pPr>
      <w:r w:rsidRPr="006D0614">
        <w:rPr>
          <w:rFonts w:ascii="Palatino Linotype" w:hAnsi="Palatino Linotype"/>
          <w:sz w:val="24"/>
          <w:szCs w:val="24"/>
        </w:rPr>
        <w:t>Marilyn Skinner: “[R]</w:t>
      </w:r>
      <w:proofErr w:type="spellStart"/>
      <w:r w:rsidRPr="006D0614">
        <w:rPr>
          <w:rFonts w:ascii="Palatino Linotype" w:hAnsi="Palatino Linotype"/>
          <w:sz w:val="24"/>
          <w:szCs w:val="24"/>
        </w:rPr>
        <w:t>ank</w:t>
      </w:r>
      <w:proofErr w:type="spellEnd"/>
      <w:r w:rsidRPr="006D0614">
        <w:rPr>
          <w:rFonts w:ascii="Palatino Linotype" w:hAnsi="Palatino Linotype"/>
          <w:sz w:val="24"/>
          <w:szCs w:val="24"/>
        </w:rPr>
        <w:t xml:space="preserve"> and class were more decisive in calibrating sexual power relations than physiological manhood. The body of the Roman </w:t>
      </w:r>
      <w:proofErr w:type="spellStart"/>
      <w:r w:rsidRPr="006D0614">
        <w:rPr>
          <w:rFonts w:ascii="Palatino Linotype" w:hAnsi="Palatino Linotype"/>
          <w:i/>
          <w:iCs/>
          <w:sz w:val="24"/>
          <w:szCs w:val="24"/>
        </w:rPr>
        <w:t>vir</w:t>
      </w:r>
      <w:proofErr w:type="spellEnd"/>
      <w:r w:rsidRPr="006D0614">
        <w:rPr>
          <w:rFonts w:ascii="Palatino Linotype" w:hAnsi="Palatino Linotype"/>
          <w:sz w:val="24"/>
          <w:szCs w:val="24"/>
        </w:rPr>
        <w:t xml:space="preserve">, the adult citizen male, was regarded as inviolable, legally protected from sexual penetration, beating, and torture. … Although sexual attraction to youths was regarded as completely normal, just as it was in Greece, Roman men were rigorously prohibited by law as well as custom from sexual contact with freeborn citizen boys. Violation of the physical integrity of a citizen youth was treated as the equivalent of unlawful relations with married or unmarried women and punished as </w:t>
      </w:r>
      <w:r w:rsidRPr="006D0614">
        <w:rPr>
          <w:rFonts w:ascii="Palatino Linotype" w:hAnsi="Palatino Linotype"/>
          <w:i/>
          <w:iCs/>
          <w:sz w:val="24"/>
          <w:szCs w:val="24"/>
        </w:rPr>
        <w:t>stuprum</w:t>
      </w:r>
      <w:r w:rsidRPr="006D0614">
        <w:rPr>
          <w:rFonts w:ascii="Palatino Linotype" w:hAnsi="Palatino Linotype"/>
          <w:sz w:val="24"/>
          <w:szCs w:val="24"/>
        </w:rPr>
        <w:t>, a criminal sexual act. … Pederasty, as an institutionalized cross-generational relationship of two Roman citizens, thus becomes unthinkable. Furthermore, because slaves and prostitutes were the only legitimate objects of male homoerotic desire, relationships with boys were often treated as trivial even by those who viewed them in a favorable light.”</w:t>
      </w:r>
      <w:r w:rsidRPr="006D0614">
        <w:rPr>
          <w:rFonts w:ascii="Palatino Linotype" w:hAnsi="Palatino Linotype"/>
          <w:sz w:val="24"/>
          <w:szCs w:val="24"/>
          <w:vertAlign w:val="superscript"/>
        </w:rPr>
        <w:footnoteReference w:id="2"/>
      </w:r>
    </w:p>
    <w:p w14:paraId="49DC3508" w14:textId="1004B125" w:rsidR="006D0614" w:rsidRDefault="006D0614" w:rsidP="004441C3">
      <w:pPr>
        <w:pStyle w:val="ListParagraph"/>
        <w:numPr>
          <w:ilvl w:val="0"/>
          <w:numId w:val="13"/>
        </w:numPr>
        <w:rPr>
          <w:rFonts w:ascii="Palatino Linotype" w:hAnsi="Palatino Linotype"/>
          <w:sz w:val="24"/>
          <w:szCs w:val="24"/>
        </w:rPr>
      </w:pPr>
      <w:r w:rsidRPr="006D0614">
        <w:rPr>
          <w:rFonts w:ascii="Palatino Linotype" w:hAnsi="Palatino Linotype"/>
          <w:sz w:val="24"/>
          <w:szCs w:val="24"/>
        </w:rPr>
        <w:t xml:space="preserve">Horace: “When your throat is parched with thirst, do you insist on having a golden tankard [cup]? When famished do you turn up your nose at all but </w:t>
      </w:r>
      <w:r w:rsidRPr="006D0614">
        <w:rPr>
          <w:rFonts w:ascii="Palatino Linotype" w:hAnsi="Palatino Linotype"/>
          <w:sz w:val="24"/>
          <w:szCs w:val="24"/>
        </w:rPr>
        <w:lastRenderedPageBreak/>
        <w:t>peacock and turbot [expensive fish]? When your organ is stiff, and a servant girl or a young boy from the household is near at hand and you know you can make an immediate assault, would you sooner burst with tension? Not me. I like sex to be there and easy to get.”</w:t>
      </w:r>
      <w:r w:rsidRPr="006D0614">
        <w:rPr>
          <w:rFonts w:ascii="Palatino Linotype" w:hAnsi="Palatino Linotype"/>
          <w:sz w:val="24"/>
          <w:szCs w:val="24"/>
          <w:vertAlign w:val="superscript"/>
        </w:rPr>
        <w:footnoteReference w:id="3"/>
      </w:r>
      <w:r w:rsidRPr="006D0614">
        <w:rPr>
          <w:rFonts w:ascii="Palatino Linotype" w:hAnsi="Palatino Linotype"/>
          <w:sz w:val="24"/>
          <w:szCs w:val="24"/>
        </w:rPr>
        <w:t xml:space="preserve"> (Horace, </w:t>
      </w:r>
      <w:r w:rsidRPr="006D0614">
        <w:rPr>
          <w:rFonts w:ascii="Palatino Linotype" w:hAnsi="Palatino Linotype"/>
          <w:i/>
          <w:iCs/>
          <w:sz w:val="24"/>
          <w:szCs w:val="24"/>
        </w:rPr>
        <w:t xml:space="preserve">Satire </w:t>
      </w:r>
      <w:r w:rsidRPr="006D0614">
        <w:rPr>
          <w:rFonts w:ascii="Palatino Linotype" w:hAnsi="Palatino Linotype"/>
          <w:sz w:val="24"/>
          <w:szCs w:val="24"/>
        </w:rPr>
        <w:t>2.113-119)</w:t>
      </w:r>
    </w:p>
    <w:p w14:paraId="1F74DF53" w14:textId="254354E0" w:rsidR="006D0614" w:rsidRDefault="006D0614" w:rsidP="004441C3">
      <w:pPr>
        <w:contextualSpacing/>
        <w:rPr>
          <w:rFonts w:ascii="Palatino Linotype" w:hAnsi="Palatino Linotype"/>
          <w:sz w:val="24"/>
          <w:szCs w:val="24"/>
        </w:rPr>
      </w:pPr>
      <w:r>
        <w:rPr>
          <w:rFonts w:ascii="Palatino Linotype" w:hAnsi="Palatino Linotype"/>
          <w:sz w:val="24"/>
          <w:szCs w:val="24"/>
        </w:rPr>
        <w:t>1 Corinthians 6:9-10 Two words present significant translation difficulties</w:t>
      </w:r>
    </w:p>
    <w:p w14:paraId="7CB2DC54" w14:textId="3AD88786" w:rsidR="006D0614" w:rsidRDefault="006D0614" w:rsidP="004441C3">
      <w:pPr>
        <w:pStyle w:val="ListParagraph"/>
        <w:numPr>
          <w:ilvl w:val="0"/>
          <w:numId w:val="13"/>
        </w:numPr>
        <w:rPr>
          <w:rFonts w:ascii="Palatino Linotype" w:hAnsi="Palatino Linotype"/>
          <w:sz w:val="24"/>
          <w:szCs w:val="24"/>
        </w:rPr>
      </w:pPr>
      <w:proofErr w:type="spellStart"/>
      <w:r>
        <w:rPr>
          <w:rFonts w:ascii="Palatino Linotype" w:hAnsi="Palatino Linotype"/>
          <w:i/>
          <w:iCs/>
          <w:sz w:val="24"/>
          <w:szCs w:val="24"/>
        </w:rPr>
        <w:t>malakoi</w:t>
      </w:r>
      <w:proofErr w:type="spellEnd"/>
      <w:r>
        <w:rPr>
          <w:rFonts w:ascii="Palatino Linotype" w:hAnsi="Palatino Linotype"/>
          <w:i/>
          <w:iCs/>
          <w:sz w:val="24"/>
          <w:szCs w:val="24"/>
        </w:rPr>
        <w:t xml:space="preserve"> </w:t>
      </w:r>
      <w:r>
        <w:rPr>
          <w:rFonts w:ascii="Palatino Linotype" w:hAnsi="Palatino Linotype"/>
          <w:sz w:val="24"/>
          <w:szCs w:val="24"/>
        </w:rPr>
        <w:t>(</w:t>
      </w:r>
      <w:r>
        <w:rPr>
          <w:rFonts w:ascii="Palatino Linotype" w:hAnsi="Palatino Linotype"/>
          <w:sz w:val="24"/>
          <w:szCs w:val="24"/>
          <w:lang w:val="el-GR"/>
        </w:rPr>
        <w:t>μαλακοί</w:t>
      </w:r>
      <w:r>
        <w:rPr>
          <w:rFonts w:ascii="Palatino Linotype" w:hAnsi="Palatino Linotype"/>
          <w:sz w:val="24"/>
          <w:szCs w:val="24"/>
          <w:lang w:bidi="he-IL"/>
        </w:rPr>
        <w:t>): male prostitutes (NRSVUE), boy prostitutes (NABRE)</w:t>
      </w:r>
    </w:p>
    <w:p w14:paraId="1EED9976" w14:textId="3B23A07B" w:rsidR="006D0614" w:rsidRDefault="006D0614" w:rsidP="004441C3">
      <w:pPr>
        <w:pStyle w:val="ListParagraph"/>
        <w:numPr>
          <w:ilvl w:val="0"/>
          <w:numId w:val="13"/>
        </w:numPr>
        <w:rPr>
          <w:rFonts w:ascii="Palatino Linotype" w:hAnsi="Palatino Linotype"/>
          <w:sz w:val="24"/>
          <w:szCs w:val="24"/>
        </w:rPr>
      </w:pPr>
      <w:proofErr w:type="spellStart"/>
      <w:r>
        <w:rPr>
          <w:rFonts w:ascii="Palatino Linotype" w:hAnsi="Palatino Linotype"/>
          <w:i/>
          <w:iCs/>
          <w:sz w:val="24"/>
          <w:szCs w:val="24"/>
        </w:rPr>
        <w:t>arsenokoitai</w:t>
      </w:r>
      <w:proofErr w:type="spellEnd"/>
      <w:r>
        <w:rPr>
          <w:rFonts w:ascii="Palatino Linotype" w:hAnsi="Palatino Linotype"/>
          <w:sz w:val="24"/>
          <w:szCs w:val="24"/>
        </w:rPr>
        <w:t xml:space="preserve"> (</w:t>
      </w:r>
      <w:r>
        <w:rPr>
          <w:rFonts w:ascii="Palatino Linotype" w:hAnsi="Palatino Linotype"/>
          <w:sz w:val="24"/>
          <w:szCs w:val="24"/>
          <w:lang w:val="el-GR"/>
        </w:rPr>
        <w:t>ἀρσενοκοῖται</w:t>
      </w:r>
      <w:r>
        <w:rPr>
          <w:rFonts w:ascii="Palatino Linotype" w:hAnsi="Palatino Linotype"/>
          <w:sz w:val="24"/>
          <w:szCs w:val="24"/>
          <w:lang w:bidi="he-IL"/>
        </w:rPr>
        <w:t>): men who engage in illicit sex (NRSVUE), sodomites (NABRE)</w:t>
      </w:r>
    </w:p>
    <w:p w14:paraId="32EB3505" w14:textId="0621D875" w:rsidR="006D0614" w:rsidRDefault="006D0614"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Neither of these are very good translations. Each one limits the meaning of </w:t>
      </w:r>
      <w:r>
        <w:rPr>
          <w:rFonts w:ascii="Palatino Linotype" w:hAnsi="Palatino Linotype"/>
          <w:sz w:val="24"/>
          <w:szCs w:val="24"/>
          <w:lang w:bidi="he-IL"/>
        </w:rPr>
        <w:t xml:space="preserve">both </w:t>
      </w:r>
      <w:r>
        <w:rPr>
          <w:rFonts w:ascii="Palatino Linotype" w:hAnsi="Palatino Linotype"/>
          <w:sz w:val="24"/>
          <w:szCs w:val="24"/>
        </w:rPr>
        <w:t>words</w:t>
      </w:r>
      <w:r w:rsidRPr="006D0614">
        <w:rPr>
          <w:rFonts w:ascii="Palatino Linotype" w:hAnsi="Palatino Linotype"/>
          <w:sz w:val="24"/>
          <w:szCs w:val="24"/>
        </w:rPr>
        <w:t xml:space="preserve"> </w:t>
      </w:r>
      <w:r>
        <w:rPr>
          <w:rFonts w:ascii="Palatino Linotype" w:hAnsi="Palatino Linotype"/>
          <w:sz w:val="24"/>
          <w:szCs w:val="24"/>
        </w:rPr>
        <w:t xml:space="preserve">more than necessary. </w:t>
      </w:r>
    </w:p>
    <w:p w14:paraId="41FA27EB" w14:textId="2B67E34B" w:rsidR="0066253D" w:rsidRPr="0066253D" w:rsidRDefault="0066253D" w:rsidP="0066253D">
      <w:pPr>
        <w:rPr>
          <w:rFonts w:ascii="Palatino Linotype" w:hAnsi="Palatino Linotype"/>
          <w:sz w:val="24"/>
          <w:szCs w:val="24"/>
          <w:lang w:bidi="he-IL"/>
        </w:rPr>
      </w:pPr>
      <w:proofErr w:type="spellStart"/>
      <w:r w:rsidRPr="0066253D">
        <w:rPr>
          <w:rFonts w:ascii="Palatino Linotype" w:hAnsi="Palatino Linotype"/>
          <w:i/>
          <w:iCs/>
          <w:sz w:val="24"/>
          <w:szCs w:val="24"/>
        </w:rPr>
        <w:t>Arsenokoitai</w:t>
      </w:r>
      <w:proofErr w:type="spellEnd"/>
      <w:r>
        <w:rPr>
          <w:rFonts w:ascii="Palatino Linotype" w:hAnsi="Palatino Linotype"/>
          <w:sz w:val="24"/>
          <w:szCs w:val="24"/>
        </w:rPr>
        <w:t xml:space="preserve"> (</w:t>
      </w:r>
      <w:r>
        <w:rPr>
          <w:rFonts w:ascii="Palatino Linotype" w:hAnsi="Palatino Linotype"/>
          <w:sz w:val="24"/>
          <w:szCs w:val="24"/>
          <w:lang w:val="el-GR"/>
        </w:rPr>
        <w:t>Ἀρσενοκοῖται</w:t>
      </w:r>
      <w:r>
        <w:rPr>
          <w:rFonts w:ascii="Palatino Linotype" w:hAnsi="Palatino Linotype"/>
          <w:sz w:val="24"/>
          <w:szCs w:val="24"/>
          <w:lang w:bidi="he-IL"/>
        </w:rPr>
        <w:t>)</w:t>
      </w:r>
    </w:p>
    <w:p w14:paraId="6559A89B" w14:textId="7FFA5A8D" w:rsidR="006D0614" w:rsidRDefault="0066253D" w:rsidP="004441C3">
      <w:pPr>
        <w:pStyle w:val="ListParagraph"/>
        <w:numPr>
          <w:ilvl w:val="0"/>
          <w:numId w:val="13"/>
        </w:numPr>
        <w:rPr>
          <w:rFonts w:ascii="Palatino Linotype" w:hAnsi="Palatino Linotype"/>
          <w:sz w:val="24"/>
          <w:szCs w:val="24"/>
        </w:rPr>
      </w:pPr>
      <w:r>
        <w:rPr>
          <w:rFonts w:ascii="Palatino Linotype" w:hAnsi="Palatino Linotype"/>
          <w:sz w:val="24"/>
          <w:szCs w:val="24"/>
        </w:rPr>
        <w:t>Let’s begin with the second of the two key words (</w:t>
      </w:r>
      <w:proofErr w:type="spellStart"/>
      <w:r>
        <w:rPr>
          <w:rFonts w:ascii="Palatino Linotype" w:hAnsi="Palatino Linotype"/>
          <w:i/>
          <w:iCs/>
          <w:sz w:val="24"/>
          <w:szCs w:val="24"/>
        </w:rPr>
        <w:t>arsenokoitai</w:t>
      </w:r>
      <w:proofErr w:type="spellEnd"/>
      <w:r w:rsidRPr="0066253D">
        <w:rPr>
          <w:rFonts w:ascii="Palatino Linotype" w:hAnsi="Palatino Linotype"/>
          <w:sz w:val="24"/>
          <w:szCs w:val="24"/>
        </w:rPr>
        <w:t>)</w:t>
      </w:r>
      <w:r>
        <w:rPr>
          <w:rFonts w:ascii="Palatino Linotype" w:hAnsi="Palatino Linotype"/>
          <w:sz w:val="24"/>
          <w:szCs w:val="24"/>
        </w:rPr>
        <w:t xml:space="preserve">. </w:t>
      </w:r>
      <w:r w:rsidR="005B6916">
        <w:rPr>
          <w:rFonts w:ascii="Palatino Linotype" w:hAnsi="Palatino Linotype"/>
          <w:sz w:val="24"/>
          <w:szCs w:val="24"/>
        </w:rPr>
        <w:t xml:space="preserve">The Greek translation of </w:t>
      </w:r>
      <w:r w:rsidR="000C4F19">
        <w:rPr>
          <w:rFonts w:ascii="Palatino Linotype" w:hAnsi="Palatino Linotype"/>
          <w:sz w:val="24"/>
          <w:szCs w:val="24"/>
        </w:rPr>
        <w:t>Leviticus 20:13 is the likely background from which Paul was pulling</w:t>
      </w:r>
      <w:r>
        <w:rPr>
          <w:rFonts w:ascii="Palatino Linotype" w:hAnsi="Palatino Linotype"/>
          <w:sz w:val="24"/>
          <w:szCs w:val="24"/>
        </w:rPr>
        <w:t xml:space="preserve"> for this word. </w:t>
      </w:r>
    </w:p>
    <w:p w14:paraId="6267F61E" w14:textId="0419D7BA" w:rsidR="005B6916" w:rsidRPr="005B6916" w:rsidRDefault="005B6916" w:rsidP="004441C3">
      <w:pPr>
        <w:pStyle w:val="ListParagraph"/>
        <w:numPr>
          <w:ilvl w:val="0"/>
          <w:numId w:val="13"/>
        </w:numPr>
        <w:rPr>
          <w:rFonts w:ascii="Palatino Linotype" w:hAnsi="Palatino Linotype"/>
          <w:sz w:val="24"/>
          <w:szCs w:val="24"/>
        </w:rPr>
      </w:pPr>
      <w:r w:rsidRPr="005B6916">
        <w:rPr>
          <w:rFonts w:ascii="Palatino Linotype" w:hAnsi="Palatino Linotype"/>
          <w:sz w:val="24"/>
          <w:szCs w:val="24"/>
        </w:rPr>
        <w:t>Leviticus 20</w:t>
      </w:r>
      <w:r>
        <w:rPr>
          <w:rFonts w:ascii="Palatino Linotype" w:hAnsi="Palatino Linotype"/>
          <w:sz w:val="24"/>
          <w:szCs w:val="24"/>
        </w:rPr>
        <w:t>:</w:t>
      </w:r>
      <w:r w:rsidRPr="005B6916">
        <w:rPr>
          <w:rFonts w:ascii="Palatino Linotype" w:hAnsi="Palatino Linotype"/>
          <w:sz w:val="24"/>
          <w:szCs w:val="24"/>
        </w:rPr>
        <w:t>13</w:t>
      </w:r>
      <w:r>
        <w:rPr>
          <w:rFonts w:ascii="Palatino Linotype" w:hAnsi="Palatino Linotype"/>
          <w:sz w:val="24"/>
          <w:szCs w:val="24"/>
        </w:rPr>
        <w:t xml:space="preserve"> (NETS)</w:t>
      </w:r>
      <w:r>
        <w:rPr>
          <w:rFonts w:ascii="Palatino Linotype" w:hAnsi="Palatino Linotype"/>
          <w:sz w:val="24"/>
          <w:szCs w:val="24"/>
        </w:rPr>
        <w:br/>
      </w:r>
      <w:r w:rsidRPr="005B6916">
        <w:rPr>
          <w:rFonts w:ascii="Palatino Linotype" w:hAnsi="Palatino Linotype"/>
          <w:sz w:val="24"/>
          <w:szCs w:val="24"/>
        </w:rPr>
        <w:t xml:space="preserve">And he who lies with a male </w:t>
      </w:r>
      <w:r>
        <w:rPr>
          <w:rFonts w:ascii="Palatino Linotype" w:hAnsi="Palatino Linotype"/>
          <w:sz w:val="24"/>
          <w:szCs w:val="24"/>
        </w:rPr>
        <w:t>[</w:t>
      </w:r>
      <w:proofErr w:type="spellStart"/>
      <w:r>
        <w:rPr>
          <w:rFonts w:ascii="Palatino Linotype" w:hAnsi="Palatino Linotype"/>
          <w:i/>
          <w:iCs/>
          <w:sz w:val="24"/>
          <w:szCs w:val="24"/>
        </w:rPr>
        <w:t>arsenos</w:t>
      </w:r>
      <w:proofErr w:type="spellEnd"/>
      <w:r>
        <w:rPr>
          <w:rFonts w:ascii="Palatino Linotype" w:hAnsi="Palatino Linotype"/>
          <w:sz w:val="24"/>
          <w:szCs w:val="24"/>
        </w:rPr>
        <w:t>]</w:t>
      </w:r>
      <w:r>
        <w:rPr>
          <w:rFonts w:ascii="Palatino Linotype" w:hAnsi="Palatino Linotype"/>
          <w:i/>
          <w:iCs/>
          <w:sz w:val="24"/>
          <w:szCs w:val="24"/>
        </w:rPr>
        <w:t xml:space="preserve"> </w:t>
      </w:r>
      <w:r w:rsidRPr="005B6916">
        <w:rPr>
          <w:rFonts w:ascii="Palatino Linotype" w:hAnsi="Palatino Linotype"/>
          <w:sz w:val="24"/>
          <w:szCs w:val="24"/>
        </w:rPr>
        <w:t>in a bed</w:t>
      </w:r>
      <w:r>
        <w:rPr>
          <w:rFonts w:ascii="Palatino Linotype" w:hAnsi="Palatino Linotype"/>
          <w:sz w:val="24"/>
          <w:szCs w:val="24"/>
        </w:rPr>
        <w:t xml:space="preserve"> [</w:t>
      </w:r>
      <w:proofErr w:type="spellStart"/>
      <w:r>
        <w:rPr>
          <w:rFonts w:ascii="Palatino Linotype" w:hAnsi="Palatino Linotype"/>
          <w:i/>
          <w:iCs/>
          <w:sz w:val="24"/>
          <w:szCs w:val="24"/>
        </w:rPr>
        <w:t>koiten</w:t>
      </w:r>
      <w:proofErr w:type="spellEnd"/>
      <w:r>
        <w:rPr>
          <w:rFonts w:ascii="Palatino Linotype" w:hAnsi="Palatino Linotype"/>
          <w:sz w:val="24"/>
          <w:szCs w:val="24"/>
        </w:rPr>
        <w:t>]</w:t>
      </w:r>
      <w:r w:rsidRPr="005B6916">
        <w:rPr>
          <w:rFonts w:ascii="Palatino Linotype" w:hAnsi="Palatino Linotype"/>
          <w:sz w:val="24"/>
          <w:szCs w:val="24"/>
        </w:rPr>
        <w:t xml:space="preserve"> for a woman, both have committed an abomination; by death let them be put to death; they are liable.</w:t>
      </w:r>
    </w:p>
    <w:p w14:paraId="56B03E43" w14:textId="49644232" w:rsidR="000C4F19" w:rsidRDefault="005B6916" w:rsidP="004441C3">
      <w:pPr>
        <w:pStyle w:val="ListParagraph"/>
        <w:numPr>
          <w:ilvl w:val="0"/>
          <w:numId w:val="13"/>
        </w:numPr>
        <w:rPr>
          <w:rFonts w:ascii="Palatino Linotype" w:hAnsi="Palatino Linotype"/>
          <w:sz w:val="24"/>
          <w:szCs w:val="24"/>
        </w:rPr>
      </w:pPr>
      <w:proofErr w:type="gramStart"/>
      <w:r>
        <w:rPr>
          <w:rFonts w:ascii="Palatino Linotype" w:hAnsi="Palatino Linotype"/>
          <w:sz w:val="24"/>
          <w:szCs w:val="24"/>
        </w:rPr>
        <w:t>Thus</w:t>
      </w:r>
      <w:proofErr w:type="gramEnd"/>
      <w:r>
        <w:rPr>
          <w:rFonts w:ascii="Palatino Linotype" w:hAnsi="Palatino Linotype"/>
          <w:sz w:val="24"/>
          <w:szCs w:val="24"/>
        </w:rPr>
        <w:t xml:space="preserve"> the Greek reads </w:t>
      </w:r>
      <w:proofErr w:type="spellStart"/>
      <w:r>
        <w:rPr>
          <w:rFonts w:ascii="Palatino Linotype" w:hAnsi="Palatino Linotype"/>
          <w:i/>
          <w:iCs/>
          <w:sz w:val="24"/>
          <w:szCs w:val="24"/>
        </w:rPr>
        <w:t>arsenos</w:t>
      </w:r>
      <w:proofErr w:type="spellEnd"/>
      <w:r>
        <w:rPr>
          <w:rFonts w:ascii="Palatino Linotype" w:hAnsi="Palatino Linotype"/>
          <w:i/>
          <w:iCs/>
          <w:sz w:val="24"/>
          <w:szCs w:val="24"/>
        </w:rPr>
        <w:t xml:space="preserve"> </w:t>
      </w:r>
      <w:proofErr w:type="spellStart"/>
      <w:r>
        <w:rPr>
          <w:rFonts w:ascii="Palatino Linotype" w:hAnsi="Palatino Linotype"/>
          <w:i/>
          <w:iCs/>
          <w:sz w:val="24"/>
          <w:szCs w:val="24"/>
        </w:rPr>
        <w:t>koiten</w:t>
      </w:r>
      <w:proofErr w:type="spellEnd"/>
      <w:r>
        <w:rPr>
          <w:rFonts w:ascii="Palatino Linotype" w:hAnsi="Palatino Linotype"/>
          <w:sz w:val="24"/>
          <w:szCs w:val="24"/>
        </w:rPr>
        <w:t xml:space="preserve"> (</w:t>
      </w:r>
      <w:r>
        <w:rPr>
          <w:rFonts w:ascii="Palatino Linotype" w:hAnsi="Palatino Linotype"/>
          <w:sz w:val="24"/>
          <w:szCs w:val="24"/>
          <w:lang w:val="el-GR"/>
        </w:rPr>
        <w:t>ἄρσενος</w:t>
      </w:r>
      <w:r w:rsidRPr="005B6916">
        <w:rPr>
          <w:rFonts w:ascii="Palatino Linotype" w:hAnsi="Palatino Linotype"/>
          <w:sz w:val="24"/>
          <w:szCs w:val="24"/>
        </w:rPr>
        <w:t xml:space="preserve"> </w:t>
      </w:r>
      <w:r>
        <w:rPr>
          <w:rFonts w:ascii="Palatino Linotype" w:hAnsi="Palatino Linotype"/>
          <w:sz w:val="24"/>
          <w:szCs w:val="24"/>
          <w:lang w:val="el-GR"/>
        </w:rPr>
        <w:t>κοίτην</w:t>
      </w:r>
      <w:r>
        <w:rPr>
          <w:rFonts w:ascii="Palatino Linotype" w:hAnsi="Palatino Linotype"/>
          <w:sz w:val="24"/>
          <w:szCs w:val="24"/>
          <w:lang w:bidi="he-IL"/>
        </w:rPr>
        <w:t>), which are the two words Paul combined into one in 1 Corinthian 6:9</w:t>
      </w:r>
      <w:r w:rsidR="00C36BCF">
        <w:rPr>
          <w:rFonts w:ascii="Palatino Linotype" w:hAnsi="Palatino Linotype"/>
          <w:sz w:val="24"/>
          <w:szCs w:val="24"/>
          <w:lang w:bidi="he-IL"/>
        </w:rPr>
        <w:t xml:space="preserve"> (</w:t>
      </w:r>
      <w:proofErr w:type="spellStart"/>
      <w:r w:rsidR="00C36BCF">
        <w:rPr>
          <w:rFonts w:ascii="Palatino Linotype" w:hAnsi="Palatino Linotype"/>
          <w:i/>
          <w:iCs/>
          <w:sz w:val="24"/>
          <w:szCs w:val="24"/>
          <w:lang w:bidi="he-IL"/>
        </w:rPr>
        <w:t>arsenokoitai</w:t>
      </w:r>
      <w:proofErr w:type="spellEnd"/>
      <w:r w:rsidR="00C36BCF" w:rsidRPr="00C36BCF">
        <w:rPr>
          <w:rFonts w:ascii="Palatino Linotype" w:hAnsi="Palatino Linotype"/>
          <w:sz w:val="24"/>
          <w:szCs w:val="24"/>
          <w:lang w:bidi="he-IL"/>
        </w:rPr>
        <w:t>)</w:t>
      </w:r>
      <w:r w:rsidR="00ED70B4">
        <w:rPr>
          <w:rFonts w:ascii="Palatino Linotype" w:hAnsi="Palatino Linotype"/>
          <w:sz w:val="24"/>
          <w:szCs w:val="24"/>
          <w:lang w:bidi="he-IL"/>
        </w:rPr>
        <w:t>. Thus, Paul has in mind a man who is having sex with a man.</w:t>
      </w:r>
    </w:p>
    <w:p w14:paraId="3B586D7F" w14:textId="53368A89" w:rsidR="009045C6" w:rsidRPr="009045C6" w:rsidRDefault="009045C6" w:rsidP="009045C6">
      <w:pPr>
        <w:rPr>
          <w:rFonts w:ascii="Palatino Linotype" w:hAnsi="Palatino Linotype"/>
          <w:sz w:val="24"/>
          <w:szCs w:val="24"/>
          <w:lang w:bidi="he-IL"/>
        </w:rPr>
      </w:pPr>
      <w:proofErr w:type="spellStart"/>
      <w:r>
        <w:rPr>
          <w:rFonts w:ascii="Palatino Linotype" w:hAnsi="Palatino Linotype"/>
          <w:i/>
          <w:iCs/>
          <w:sz w:val="24"/>
          <w:szCs w:val="24"/>
        </w:rPr>
        <w:t>Malakoi</w:t>
      </w:r>
      <w:proofErr w:type="spellEnd"/>
      <w:r>
        <w:rPr>
          <w:rFonts w:ascii="Palatino Linotype" w:hAnsi="Palatino Linotype"/>
          <w:i/>
          <w:iCs/>
          <w:sz w:val="24"/>
          <w:szCs w:val="24"/>
        </w:rPr>
        <w:t xml:space="preserve"> </w:t>
      </w:r>
      <w:r>
        <w:rPr>
          <w:rFonts w:ascii="Palatino Linotype" w:hAnsi="Palatino Linotype"/>
          <w:sz w:val="24"/>
          <w:szCs w:val="24"/>
        </w:rPr>
        <w:t>(</w:t>
      </w:r>
      <w:r>
        <w:rPr>
          <w:rFonts w:ascii="Palatino Linotype" w:hAnsi="Palatino Linotype"/>
          <w:sz w:val="24"/>
          <w:szCs w:val="24"/>
          <w:lang w:val="el-GR"/>
        </w:rPr>
        <w:t>Μαλακοί</w:t>
      </w:r>
      <w:r>
        <w:rPr>
          <w:rFonts w:ascii="Palatino Linotype" w:hAnsi="Palatino Linotype"/>
          <w:sz w:val="24"/>
          <w:szCs w:val="24"/>
          <w:lang w:bidi="he-IL"/>
        </w:rPr>
        <w:t xml:space="preserve">) </w:t>
      </w:r>
    </w:p>
    <w:p w14:paraId="549478CC" w14:textId="120907B3" w:rsidR="005B6916" w:rsidRDefault="00994F17" w:rsidP="004441C3">
      <w:pPr>
        <w:pStyle w:val="ListParagraph"/>
        <w:numPr>
          <w:ilvl w:val="0"/>
          <w:numId w:val="13"/>
        </w:numPr>
        <w:rPr>
          <w:rFonts w:ascii="Palatino Linotype" w:hAnsi="Palatino Linotype"/>
          <w:sz w:val="24"/>
          <w:szCs w:val="24"/>
        </w:rPr>
      </w:pPr>
      <w:r>
        <w:rPr>
          <w:rFonts w:ascii="Palatino Linotype" w:hAnsi="Palatino Linotype"/>
          <w:sz w:val="24"/>
          <w:szCs w:val="24"/>
        </w:rPr>
        <w:t>The other word in question (</w:t>
      </w:r>
      <w:proofErr w:type="spellStart"/>
      <w:r>
        <w:rPr>
          <w:rFonts w:ascii="Palatino Linotype" w:hAnsi="Palatino Linotype"/>
          <w:i/>
          <w:iCs/>
          <w:sz w:val="24"/>
          <w:szCs w:val="24"/>
        </w:rPr>
        <w:t>malakoi</w:t>
      </w:r>
      <w:proofErr w:type="spellEnd"/>
      <w:r>
        <w:rPr>
          <w:rFonts w:ascii="Palatino Linotype" w:hAnsi="Palatino Linotype"/>
          <w:sz w:val="24"/>
          <w:szCs w:val="24"/>
        </w:rPr>
        <w:t xml:space="preserve">) derives from the word </w:t>
      </w:r>
      <w:proofErr w:type="spellStart"/>
      <w:r>
        <w:rPr>
          <w:rFonts w:ascii="Palatino Linotype" w:hAnsi="Palatino Linotype"/>
          <w:i/>
          <w:iCs/>
          <w:sz w:val="24"/>
          <w:szCs w:val="24"/>
        </w:rPr>
        <w:t>malakos</w:t>
      </w:r>
      <w:proofErr w:type="spellEnd"/>
      <w:r>
        <w:rPr>
          <w:rFonts w:ascii="Palatino Linotype" w:hAnsi="Palatino Linotype"/>
          <w:sz w:val="24"/>
          <w:szCs w:val="24"/>
        </w:rPr>
        <w:t xml:space="preserve">, meaning “soft” and can refer to soft clothing. However, the standard Greek </w:t>
      </w:r>
      <w:r w:rsidR="00841516">
        <w:rPr>
          <w:rFonts w:ascii="Palatino Linotype" w:hAnsi="Palatino Linotype"/>
          <w:sz w:val="24"/>
          <w:szCs w:val="24"/>
        </w:rPr>
        <w:t>dictionary</w:t>
      </w:r>
      <w:r>
        <w:rPr>
          <w:rFonts w:ascii="Palatino Linotype" w:hAnsi="Palatino Linotype"/>
          <w:sz w:val="24"/>
          <w:szCs w:val="24"/>
        </w:rPr>
        <w:t xml:space="preserve"> (BDAG) includes this second definition: </w:t>
      </w:r>
      <w:r w:rsidRPr="00994F17">
        <w:rPr>
          <w:rFonts w:ascii="Palatino Linotype" w:hAnsi="Palatino Linotype"/>
          <w:sz w:val="24"/>
          <w:szCs w:val="24"/>
        </w:rPr>
        <w:t xml:space="preserve">“pert. to being passive in a same-sex relationship, </w:t>
      </w:r>
      <w:r w:rsidRPr="00994F17">
        <w:rPr>
          <w:rFonts w:ascii="Palatino Linotype" w:hAnsi="Palatino Linotype"/>
          <w:i/>
          <w:iCs/>
          <w:sz w:val="24"/>
          <w:szCs w:val="24"/>
        </w:rPr>
        <w:t>effeminate</w:t>
      </w:r>
      <w:r w:rsidRPr="00994F17">
        <w:rPr>
          <w:rFonts w:ascii="Palatino Linotype" w:hAnsi="Palatino Linotype"/>
          <w:sz w:val="24"/>
          <w:szCs w:val="24"/>
        </w:rPr>
        <w:t xml:space="preserve"> esp. of </w:t>
      </w:r>
      <w:r w:rsidRPr="00994F17">
        <w:rPr>
          <w:rFonts w:ascii="Palatino Linotype" w:hAnsi="Palatino Linotype"/>
          <w:i/>
          <w:iCs/>
          <w:sz w:val="24"/>
          <w:szCs w:val="24"/>
        </w:rPr>
        <w:t>catamites</w:t>
      </w:r>
      <w:r w:rsidRPr="00994F17">
        <w:rPr>
          <w:rFonts w:ascii="Palatino Linotype" w:hAnsi="Palatino Linotype"/>
          <w:sz w:val="24"/>
          <w:szCs w:val="24"/>
        </w:rPr>
        <w:t xml:space="preserve"> of men and boys who are sodomized in such a relationship</w:t>
      </w:r>
      <w:r w:rsidR="00AF5CE2">
        <w:rPr>
          <w:rFonts w:ascii="Palatino Linotype" w:hAnsi="Palatino Linotype"/>
          <w:sz w:val="24"/>
          <w:szCs w:val="24"/>
        </w:rPr>
        <w:t>.</w:t>
      </w:r>
      <w:r w:rsidRPr="00994F17">
        <w:rPr>
          <w:rFonts w:ascii="Palatino Linotype" w:hAnsi="Palatino Linotype"/>
          <w:sz w:val="24"/>
          <w:szCs w:val="24"/>
        </w:rPr>
        <w:t>”</w:t>
      </w:r>
      <w:r w:rsidRPr="00994F17">
        <w:rPr>
          <w:rFonts w:ascii="Palatino Linotype" w:hAnsi="Palatino Linotype"/>
          <w:sz w:val="24"/>
          <w:szCs w:val="24"/>
          <w:vertAlign w:val="superscript"/>
        </w:rPr>
        <w:footnoteReference w:id="4"/>
      </w:r>
    </w:p>
    <w:p w14:paraId="0BEC1BB8" w14:textId="306CD77D" w:rsidR="005B6916" w:rsidRDefault="00994F17" w:rsidP="004441C3">
      <w:pPr>
        <w:contextualSpacing/>
        <w:rPr>
          <w:rFonts w:ascii="Palatino Linotype" w:hAnsi="Palatino Linotype"/>
          <w:sz w:val="24"/>
          <w:szCs w:val="24"/>
        </w:rPr>
      </w:pPr>
      <w:r>
        <w:rPr>
          <w:rFonts w:ascii="Palatino Linotype" w:hAnsi="Palatino Linotype"/>
          <w:sz w:val="24"/>
          <w:szCs w:val="24"/>
        </w:rPr>
        <w:t>Effeminate Men in the Ancient World</w:t>
      </w:r>
    </w:p>
    <w:p w14:paraId="6E6A5E18" w14:textId="5E3CD7C5" w:rsidR="00994F17" w:rsidRDefault="00994F17" w:rsidP="004441C3">
      <w:pPr>
        <w:pStyle w:val="ListParagraph"/>
        <w:numPr>
          <w:ilvl w:val="0"/>
          <w:numId w:val="13"/>
        </w:numPr>
        <w:rPr>
          <w:rFonts w:ascii="Palatino Linotype" w:hAnsi="Palatino Linotype"/>
          <w:sz w:val="24"/>
          <w:szCs w:val="24"/>
        </w:rPr>
      </w:pPr>
      <w:r w:rsidRPr="00994F17">
        <w:rPr>
          <w:rFonts w:ascii="Palatino Linotype" w:hAnsi="Palatino Linotype"/>
          <w:sz w:val="24"/>
          <w:szCs w:val="24"/>
        </w:rPr>
        <w:t xml:space="preserve">Juvenal: “Supposing none of these exits catches your fancy, don’t you think it better to sleep with a pretty boy? Boys don’t quarrel all </w:t>
      </w:r>
      <w:r w:rsidR="00ED2342" w:rsidRPr="00994F17">
        <w:rPr>
          <w:rFonts w:ascii="Palatino Linotype" w:hAnsi="Palatino Linotype"/>
          <w:sz w:val="24"/>
          <w:szCs w:val="24"/>
        </w:rPr>
        <w:t>night or</w:t>
      </w:r>
      <w:r w:rsidRPr="00994F17">
        <w:rPr>
          <w:rFonts w:ascii="Palatino Linotype" w:hAnsi="Palatino Linotype"/>
          <w:sz w:val="24"/>
          <w:szCs w:val="24"/>
        </w:rPr>
        <w:t xml:space="preserve"> nag you for little </w:t>
      </w:r>
      <w:r w:rsidRPr="00994F17">
        <w:rPr>
          <w:rFonts w:ascii="Palatino Linotype" w:hAnsi="Palatino Linotype"/>
          <w:sz w:val="24"/>
          <w:szCs w:val="24"/>
        </w:rPr>
        <w:lastRenderedPageBreak/>
        <w:t xml:space="preserve">presents while they’re on the </w:t>
      </w:r>
      <w:proofErr w:type="gramStart"/>
      <w:r w:rsidRPr="00994F17">
        <w:rPr>
          <w:rFonts w:ascii="Palatino Linotype" w:hAnsi="Palatino Linotype"/>
          <w:sz w:val="24"/>
          <w:szCs w:val="24"/>
        </w:rPr>
        <w:t>job, or</w:t>
      </w:r>
      <w:proofErr w:type="gramEnd"/>
      <w:r w:rsidRPr="00994F17">
        <w:rPr>
          <w:rFonts w:ascii="Palatino Linotype" w:hAnsi="Palatino Linotype"/>
          <w:sz w:val="24"/>
          <w:szCs w:val="24"/>
        </w:rPr>
        <w:t xml:space="preserve"> complain that you don’t come up to their expectations, or demand more grasping passion.”</w:t>
      </w:r>
      <w:r w:rsidRPr="00994F17">
        <w:rPr>
          <w:rFonts w:ascii="Palatino Linotype" w:hAnsi="Palatino Linotype"/>
          <w:sz w:val="24"/>
          <w:szCs w:val="24"/>
          <w:vertAlign w:val="superscript"/>
        </w:rPr>
        <w:footnoteReference w:id="5"/>
      </w:r>
      <w:r w:rsidRPr="00994F17">
        <w:rPr>
          <w:rFonts w:ascii="Palatino Linotype" w:hAnsi="Palatino Linotype"/>
          <w:sz w:val="24"/>
          <w:szCs w:val="24"/>
        </w:rPr>
        <w:t xml:space="preserve"> (</w:t>
      </w:r>
      <w:r w:rsidRPr="00994F17">
        <w:rPr>
          <w:rFonts w:ascii="Palatino Linotype" w:hAnsi="Palatino Linotype"/>
          <w:i/>
          <w:iCs/>
          <w:sz w:val="24"/>
          <w:szCs w:val="24"/>
        </w:rPr>
        <w:t xml:space="preserve">Satires </w:t>
      </w:r>
      <w:r w:rsidRPr="00994F17">
        <w:rPr>
          <w:rFonts w:ascii="Palatino Linotype" w:hAnsi="Palatino Linotype"/>
          <w:sz w:val="24"/>
          <w:szCs w:val="24"/>
        </w:rPr>
        <w:t>6.33-7)</w:t>
      </w:r>
    </w:p>
    <w:p w14:paraId="6417D9E4" w14:textId="59DAA124" w:rsidR="00994F17" w:rsidRDefault="00994F17" w:rsidP="004441C3">
      <w:pPr>
        <w:pStyle w:val="ListParagraph"/>
        <w:numPr>
          <w:ilvl w:val="0"/>
          <w:numId w:val="13"/>
        </w:numPr>
        <w:rPr>
          <w:rFonts w:ascii="Palatino Linotype" w:hAnsi="Palatino Linotype"/>
          <w:sz w:val="24"/>
          <w:szCs w:val="24"/>
        </w:rPr>
      </w:pPr>
      <w:r w:rsidRPr="00994F17">
        <w:rPr>
          <w:rFonts w:ascii="Palatino Linotype" w:hAnsi="Palatino Linotype"/>
          <w:sz w:val="24"/>
          <w:szCs w:val="24"/>
        </w:rPr>
        <w:t>Phaedrus</w:t>
      </w:r>
      <w:r>
        <w:rPr>
          <w:rFonts w:ascii="Palatino Linotype" w:hAnsi="Palatino Linotype"/>
          <w:sz w:val="24"/>
          <w:szCs w:val="24"/>
        </w:rPr>
        <w:t xml:space="preserve">: </w:t>
      </w:r>
      <w:r w:rsidRPr="00994F17">
        <w:rPr>
          <w:rFonts w:ascii="Palatino Linotype" w:hAnsi="Palatino Linotype"/>
          <w:sz w:val="24"/>
          <w:szCs w:val="24"/>
        </w:rPr>
        <w:t xml:space="preserve">“Then somebody asked old Aesop what paradoxical process had produced men-women [masculine women] and vice versa [feminine men]. “The same Prometheus … had spent the day producing in separated piles those two parts which decency demands to be concealed by clothes, intending to attach them to their respective bodies. But </w:t>
      </w:r>
      <w:proofErr w:type="spellStart"/>
      <w:r w:rsidRPr="00994F17">
        <w:rPr>
          <w:rFonts w:ascii="Palatino Linotype" w:hAnsi="Palatino Linotype"/>
          <w:sz w:val="24"/>
          <w:szCs w:val="24"/>
        </w:rPr>
        <w:t>Bachhus</w:t>
      </w:r>
      <w:proofErr w:type="spellEnd"/>
      <w:r w:rsidRPr="00994F17">
        <w:rPr>
          <w:rFonts w:ascii="Palatino Linotype" w:hAnsi="Palatino Linotype"/>
          <w:sz w:val="24"/>
          <w:szCs w:val="24"/>
        </w:rPr>
        <w:t xml:space="preserve"> unexpectedly invited him to dinner. He indulged deeply in heaven nectar and only got home late at night, with unsteady steps. Then with heavy head and drunken fumbling he fitted female fixtures onto males, and members meant for males onto females. And that’s why today we all too often see passion diverted into depraved paths.”</w:t>
      </w:r>
      <w:r w:rsidRPr="00994F17">
        <w:rPr>
          <w:rFonts w:ascii="Palatino Linotype" w:hAnsi="Palatino Linotype"/>
          <w:sz w:val="24"/>
          <w:szCs w:val="24"/>
          <w:vertAlign w:val="superscript"/>
        </w:rPr>
        <w:footnoteReference w:id="6"/>
      </w:r>
      <w:r w:rsidRPr="00994F17">
        <w:rPr>
          <w:rFonts w:ascii="Palatino Linotype" w:hAnsi="Palatino Linotype"/>
          <w:sz w:val="24"/>
          <w:szCs w:val="24"/>
        </w:rPr>
        <w:t xml:space="preserve"> (Phaedrus, </w:t>
      </w:r>
      <w:r w:rsidRPr="00994F17">
        <w:rPr>
          <w:rFonts w:ascii="Palatino Linotype" w:hAnsi="Palatino Linotype"/>
          <w:i/>
          <w:iCs/>
          <w:sz w:val="24"/>
          <w:szCs w:val="24"/>
        </w:rPr>
        <w:t>Fables</w:t>
      </w:r>
      <w:r w:rsidRPr="00994F17">
        <w:rPr>
          <w:rFonts w:ascii="Palatino Linotype" w:hAnsi="Palatino Linotype"/>
          <w:sz w:val="24"/>
          <w:szCs w:val="24"/>
        </w:rPr>
        <w:t xml:space="preserve"> 4.15)</w:t>
      </w:r>
    </w:p>
    <w:p w14:paraId="03F6513B" w14:textId="3364D146" w:rsidR="00994F17" w:rsidRDefault="00994F17" w:rsidP="004441C3">
      <w:pPr>
        <w:pStyle w:val="ListParagraph"/>
        <w:numPr>
          <w:ilvl w:val="0"/>
          <w:numId w:val="13"/>
        </w:numPr>
        <w:rPr>
          <w:rFonts w:ascii="Palatino Linotype" w:hAnsi="Palatino Linotype"/>
          <w:sz w:val="24"/>
          <w:szCs w:val="24"/>
        </w:rPr>
      </w:pPr>
      <w:r w:rsidRPr="00994F17">
        <w:rPr>
          <w:rFonts w:ascii="Palatino Linotype" w:hAnsi="Palatino Linotype"/>
          <w:sz w:val="24"/>
          <w:szCs w:val="24"/>
        </w:rPr>
        <w:t>Juvenal: “Perhaps you despise the unwarlike Rhodians, the scented sons of Corinth – and rightly so: what harm can ever befall you from youths who put on perfume and shave their legs to the crotch? But steer clear of rugged Spain, give a very wide birth to Gaul…”</w:t>
      </w:r>
      <w:r w:rsidRPr="00994F17">
        <w:rPr>
          <w:rFonts w:ascii="Palatino Linotype" w:hAnsi="Palatino Linotype"/>
          <w:sz w:val="24"/>
          <w:szCs w:val="24"/>
          <w:vertAlign w:val="superscript"/>
        </w:rPr>
        <w:footnoteReference w:id="7"/>
      </w:r>
      <w:r w:rsidRPr="00994F17">
        <w:rPr>
          <w:rFonts w:ascii="Palatino Linotype" w:hAnsi="Palatino Linotype"/>
          <w:sz w:val="24"/>
          <w:szCs w:val="24"/>
        </w:rPr>
        <w:t xml:space="preserve"> (</w:t>
      </w:r>
      <w:r w:rsidRPr="00994F17">
        <w:rPr>
          <w:rFonts w:ascii="Palatino Linotype" w:hAnsi="Palatino Linotype"/>
          <w:i/>
          <w:iCs/>
          <w:sz w:val="24"/>
          <w:szCs w:val="24"/>
        </w:rPr>
        <w:t xml:space="preserve">Satires </w:t>
      </w:r>
      <w:r w:rsidRPr="00994F17">
        <w:rPr>
          <w:rFonts w:ascii="Palatino Linotype" w:hAnsi="Palatino Linotype"/>
          <w:sz w:val="24"/>
          <w:szCs w:val="24"/>
        </w:rPr>
        <w:t>8.112-115)</w:t>
      </w:r>
    </w:p>
    <w:p w14:paraId="59359917" w14:textId="31C66DD2" w:rsidR="007C1756" w:rsidRDefault="007C1756" w:rsidP="004441C3">
      <w:pPr>
        <w:pStyle w:val="ListParagraph"/>
        <w:numPr>
          <w:ilvl w:val="0"/>
          <w:numId w:val="13"/>
        </w:numPr>
        <w:rPr>
          <w:rFonts w:ascii="Palatino Linotype" w:hAnsi="Palatino Linotype"/>
          <w:sz w:val="26"/>
          <w:szCs w:val="26"/>
        </w:rPr>
      </w:pPr>
      <w:r w:rsidRPr="00A627E0">
        <w:rPr>
          <w:rFonts w:ascii="Palatino Linotype" w:hAnsi="Palatino Linotype"/>
          <w:sz w:val="26"/>
          <w:szCs w:val="26"/>
        </w:rPr>
        <w:t xml:space="preserve">Epictetus: 1 He was once visited by a young student of rhetoric who was stylishly dressed and who had a very elaborate hairdo. … 27 “Are you a man or a woman?” </w:t>
      </w:r>
    </w:p>
    <w:p w14:paraId="783EE3BD" w14:textId="77777777" w:rsidR="007C1756" w:rsidRDefault="007C1756" w:rsidP="004441C3">
      <w:pPr>
        <w:pStyle w:val="ListParagraph"/>
        <w:rPr>
          <w:rFonts w:ascii="Palatino Linotype" w:hAnsi="Palatino Linotype"/>
          <w:sz w:val="26"/>
          <w:szCs w:val="26"/>
        </w:rPr>
      </w:pPr>
      <w:r w:rsidRPr="00A627E0">
        <w:rPr>
          <w:rFonts w:ascii="Palatino Linotype" w:hAnsi="Palatino Linotype"/>
          <w:sz w:val="26"/>
          <w:szCs w:val="26"/>
        </w:rPr>
        <w:t>“A man.”</w:t>
      </w:r>
    </w:p>
    <w:p w14:paraId="1FB3C871" w14:textId="77777777" w:rsidR="007C1756" w:rsidRDefault="007C1756" w:rsidP="004441C3">
      <w:pPr>
        <w:pStyle w:val="ListParagraph"/>
        <w:rPr>
          <w:rFonts w:ascii="Palatino Linotype" w:hAnsi="Palatino Linotype"/>
          <w:sz w:val="26"/>
          <w:szCs w:val="26"/>
        </w:rPr>
      </w:pPr>
      <w:r>
        <w:rPr>
          <w:rFonts w:ascii="Palatino Linotype" w:hAnsi="Palatino Linotype"/>
          <w:sz w:val="26"/>
          <w:szCs w:val="26"/>
        </w:rPr>
        <w:t>“</w:t>
      </w:r>
      <w:proofErr w:type="gramStart"/>
      <w:r>
        <w:rPr>
          <w:rFonts w:ascii="Palatino Linotype" w:hAnsi="Palatino Linotype"/>
          <w:sz w:val="26"/>
          <w:szCs w:val="26"/>
        </w:rPr>
        <w:t>So</w:t>
      </w:r>
      <w:proofErr w:type="gramEnd"/>
      <w:r>
        <w:rPr>
          <w:rFonts w:ascii="Palatino Linotype" w:hAnsi="Palatino Linotype"/>
          <w:sz w:val="26"/>
          <w:szCs w:val="26"/>
        </w:rPr>
        <w:t xml:space="preserve"> adorn yourself as a man, not as a woman. A woman’s skin is naturally smooth and soft; if she’s hairy, she’s a freak and she’s put on display in a freak show in Rome. 28 In the case of a man, this happens if he’s </w:t>
      </w:r>
      <w:r>
        <w:rPr>
          <w:rFonts w:ascii="Palatino Linotype" w:hAnsi="Palatino Linotype"/>
          <w:i/>
          <w:iCs/>
          <w:sz w:val="26"/>
          <w:szCs w:val="26"/>
        </w:rPr>
        <w:t>without</w:t>
      </w:r>
      <w:r>
        <w:rPr>
          <w:rFonts w:ascii="Palatino Linotype" w:hAnsi="Palatino Linotype"/>
          <w:sz w:val="26"/>
          <w:szCs w:val="26"/>
        </w:rPr>
        <w:t xml:space="preserve"> hair: if he’s naturally hairless, he’s a freak, so if we find a man trimming and tweezing his hair, what are we to make of him? Where shall we exhibit him and how shall we advertise him? ‘Come and see a man who’d rather be a woman!’ 29 What a scandalous spectacle! No one would believe the advertisement! By Zeus, I imagine that even men who tweeze do so without appreciating what it is they’re doing.</w:t>
      </w:r>
    </w:p>
    <w:p w14:paraId="4F1D576A" w14:textId="77777777" w:rsidR="007C1756" w:rsidRDefault="007C1756" w:rsidP="004441C3">
      <w:pPr>
        <w:pStyle w:val="ListParagraph"/>
        <w:rPr>
          <w:rFonts w:ascii="Palatino Linotype" w:hAnsi="Palatino Linotype"/>
          <w:sz w:val="26"/>
          <w:szCs w:val="26"/>
        </w:rPr>
      </w:pPr>
      <w:r>
        <w:rPr>
          <w:rFonts w:ascii="Palatino Linotype" w:hAnsi="Palatino Linotype"/>
          <w:sz w:val="26"/>
          <w:szCs w:val="26"/>
        </w:rPr>
        <w:t xml:space="preserve">30 “Man, what reason do you have for finding fault with nature in your case? That it brought you into the world as a man? Are you saying that it should bring everyone into the world as women? In that case, what good </w:t>
      </w:r>
      <w:r>
        <w:rPr>
          <w:rFonts w:ascii="Palatino Linotype" w:hAnsi="Palatino Linotype"/>
          <w:sz w:val="26"/>
          <w:szCs w:val="26"/>
        </w:rPr>
        <w:lastRenderedPageBreak/>
        <w:t xml:space="preserve">would all your primping do </w:t>
      </w:r>
      <w:proofErr w:type="gramStart"/>
      <w:r>
        <w:rPr>
          <w:rFonts w:ascii="Palatino Linotype" w:hAnsi="Palatino Linotype"/>
          <w:sz w:val="26"/>
          <w:szCs w:val="26"/>
        </w:rPr>
        <w:t>you</w:t>
      </w:r>
      <w:proofErr w:type="gramEnd"/>
      <w:r>
        <w:rPr>
          <w:rFonts w:ascii="Palatino Linotype" w:hAnsi="Palatino Linotype"/>
          <w:sz w:val="26"/>
          <w:szCs w:val="26"/>
        </w:rPr>
        <w:t xml:space="preserve">? If everyone was a woman, for whom would you be beautifying yourself? 31 You don’t like the way things are? Then why not go the whole hog and remove—what shall I call </w:t>
      </w:r>
      <w:proofErr w:type="gramStart"/>
      <w:r>
        <w:rPr>
          <w:rFonts w:ascii="Palatino Linotype" w:hAnsi="Palatino Linotype"/>
          <w:sz w:val="26"/>
          <w:szCs w:val="26"/>
        </w:rPr>
        <w:t>it?—</w:t>
      </w:r>
      <w:proofErr w:type="gramEnd"/>
      <w:r>
        <w:rPr>
          <w:rFonts w:ascii="Palatino Linotype" w:hAnsi="Palatino Linotype"/>
          <w:sz w:val="26"/>
          <w:szCs w:val="26"/>
        </w:rPr>
        <w:t>remove the cause of your hairiness. Turn yourself into a woman in all respects, so that we’re not left in doubt, rather than being half man, half woman. 32 Who are you trying to please? Women? Then please them as a man.”</w:t>
      </w:r>
    </w:p>
    <w:p w14:paraId="33AF5879" w14:textId="77777777" w:rsidR="007C1756" w:rsidRDefault="007C1756" w:rsidP="004441C3">
      <w:pPr>
        <w:pStyle w:val="ListParagraph"/>
        <w:rPr>
          <w:rFonts w:ascii="Palatino Linotype" w:hAnsi="Palatino Linotype"/>
          <w:sz w:val="26"/>
          <w:szCs w:val="26"/>
        </w:rPr>
      </w:pPr>
      <w:r>
        <w:rPr>
          <w:rFonts w:ascii="Palatino Linotype" w:hAnsi="Palatino Linotype"/>
          <w:sz w:val="26"/>
          <w:szCs w:val="26"/>
        </w:rPr>
        <w:t>“Yes, but they like smooth-skinned men.”</w:t>
      </w:r>
    </w:p>
    <w:p w14:paraId="68E1E110" w14:textId="77777777" w:rsidR="007C1756" w:rsidRDefault="007C1756" w:rsidP="004441C3">
      <w:pPr>
        <w:pStyle w:val="ListParagraph"/>
        <w:rPr>
          <w:rFonts w:ascii="Palatino Linotype" w:hAnsi="Palatino Linotype"/>
          <w:sz w:val="26"/>
          <w:szCs w:val="26"/>
        </w:rPr>
      </w:pPr>
      <w:r>
        <w:rPr>
          <w:rFonts w:ascii="Palatino Linotype" w:hAnsi="Palatino Linotype"/>
          <w:sz w:val="26"/>
          <w:szCs w:val="26"/>
        </w:rPr>
        <w:t>“Go hang yourself! If they liked sexual deviants [</w:t>
      </w:r>
      <w:r>
        <w:rPr>
          <w:rFonts w:ascii="Palatino Linotype" w:hAnsi="Palatino Linotype"/>
          <w:sz w:val="26"/>
          <w:szCs w:val="26"/>
          <w:lang w:val="el-GR"/>
        </w:rPr>
        <w:t>κίναιδος</w:t>
      </w:r>
      <w:r w:rsidRPr="00CB5474">
        <w:rPr>
          <w:rFonts w:ascii="Palatino Linotype" w:hAnsi="Palatino Linotype"/>
          <w:sz w:val="26"/>
          <w:szCs w:val="26"/>
        </w:rPr>
        <w:t xml:space="preserve"> = </w:t>
      </w:r>
      <w:proofErr w:type="spellStart"/>
      <w:r>
        <w:rPr>
          <w:rFonts w:ascii="Palatino Linotype" w:hAnsi="Palatino Linotype"/>
          <w:i/>
          <w:iCs/>
          <w:sz w:val="26"/>
          <w:szCs w:val="26"/>
          <w:lang w:bidi="he-IL"/>
        </w:rPr>
        <w:t>cinaedus</w:t>
      </w:r>
      <w:proofErr w:type="spellEnd"/>
      <w:r>
        <w:rPr>
          <w:rFonts w:ascii="Palatino Linotype" w:hAnsi="Palatino Linotype"/>
          <w:sz w:val="26"/>
          <w:szCs w:val="26"/>
          <w:lang w:bidi="he-IL"/>
        </w:rPr>
        <w:t>]</w:t>
      </w:r>
      <w:r>
        <w:rPr>
          <w:rFonts w:ascii="Palatino Linotype" w:hAnsi="Palatino Linotype"/>
          <w:sz w:val="26"/>
          <w:szCs w:val="26"/>
        </w:rPr>
        <w:t>, would you become a sexual deviant? 33 Is that your job, is that what you were born for, to please dissolute women? 34 Is the kind of person we make a citizen of Corinth, and possibly city warden, or superintendent of the cadet force, or commander of the armed forces, or president of the games?</w:t>
      </w:r>
      <w:r>
        <w:rPr>
          <w:rStyle w:val="FootnoteReference"/>
          <w:rFonts w:ascii="Palatino Linotype" w:hAnsi="Palatino Linotype"/>
          <w:sz w:val="26"/>
          <w:szCs w:val="26"/>
        </w:rPr>
        <w:footnoteReference w:id="8"/>
      </w:r>
      <w:r>
        <w:rPr>
          <w:rFonts w:ascii="Palatino Linotype" w:hAnsi="Palatino Linotype"/>
          <w:sz w:val="26"/>
          <w:szCs w:val="26"/>
        </w:rPr>
        <w:t xml:space="preserve"> </w:t>
      </w:r>
      <w:r w:rsidRPr="00A627E0">
        <w:rPr>
          <w:rFonts w:ascii="Palatino Linotype" w:hAnsi="Palatino Linotype"/>
          <w:sz w:val="26"/>
          <w:szCs w:val="26"/>
        </w:rPr>
        <w:t>(</w:t>
      </w:r>
      <w:r w:rsidRPr="00A627E0">
        <w:rPr>
          <w:rFonts w:ascii="Palatino Linotype" w:hAnsi="Palatino Linotype"/>
          <w:i/>
          <w:iCs/>
          <w:sz w:val="26"/>
          <w:szCs w:val="26"/>
        </w:rPr>
        <w:t xml:space="preserve">On Personal Adornment </w:t>
      </w:r>
      <w:r w:rsidRPr="00A627E0">
        <w:rPr>
          <w:rFonts w:ascii="Palatino Linotype" w:hAnsi="Palatino Linotype"/>
          <w:sz w:val="26"/>
          <w:szCs w:val="26"/>
        </w:rPr>
        <w:t>3.1.1</w:t>
      </w:r>
      <w:r>
        <w:rPr>
          <w:rFonts w:ascii="Palatino Linotype" w:hAnsi="Palatino Linotype"/>
          <w:sz w:val="26"/>
          <w:szCs w:val="26"/>
        </w:rPr>
        <w:t>,27</w:t>
      </w:r>
      <w:r w:rsidRPr="00A627E0">
        <w:rPr>
          <w:rFonts w:ascii="Palatino Linotype" w:hAnsi="Palatino Linotype"/>
          <w:sz w:val="26"/>
          <w:szCs w:val="26"/>
        </w:rPr>
        <w:t xml:space="preserve">-34) </w:t>
      </w:r>
      <w:r>
        <w:rPr>
          <w:rFonts w:ascii="Palatino Linotype" w:hAnsi="Palatino Linotype"/>
          <w:sz w:val="26"/>
          <w:szCs w:val="26"/>
        </w:rPr>
        <w:t xml:space="preserve"> </w:t>
      </w:r>
    </w:p>
    <w:p w14:paraId="2C9CA222" w14:textId="59520FA6" w:rsidR="00994F17" w:rsidRPr="004441C3" w:rsidRDefault="007C1756" w:rsidP="004441C3">
      <w:pPr>
        <w:pStyle w:val="ListParagraph"/>
        <w:numPr>
          <w:ilvl w:val="0"/>
          <w:numId w:val="13"/>
        </w:numPr>
        <w:rPr>
          <w:rFonts w:ascii="Palatino Linotype" w:hAnsi="Palatino Linotype"/>
          <w:sz w:val="24"/>
          <w:szCs w:val="24"/>
        </w:rPr>
      </w:pPr>
      <w:r>
        <w:rPr>
          <w:rFonts w:ascii="Palatino Linotype" w:hAnsi="Palatino Linotype"/>
          <w:sz w:val="26"/>
          <w:szCs w:val="26"/>
          <w:lang w:bidi="he-IL"/>
        </w:rPr>
        <w:t xml:space="preserve">Marilyn Skinner: “To be a Roman </w:t>
      </w:r>
      <w:proofErr w:type="spellStart"/>
      <w:r>
        <w:rPr>
          <w:rFonts w:ascii="Palatino Linotype" w:hAnsi="Palatino Linotype"/>
          <w:i/>
          <w:iCs/>
          <w:sz w:val="26"/>
          <w:szCs w:val="26"/>
          <w:lang w:bidi="he-IL"/>
        </w:rPr>
        <w:t>vir</w:t>
      </w:r>
      <w:proofErr w:type="spellEnd"/>
      <w:r>
        <w:rPr>
          <w:rFonts w:ascii="Palatino Linotype" w:hAnsi="Palatino Linotype"/>
          <w:sz w:val="26"/>
          <w:szCs w:val="26"/>
          <w:lang w:bidi="he-IL"/>
        </w:rPr>
        <w:t xml:space="preserve">, a “real man,” was to be </w:t>
      </w:r>
      <w:r>
        <w:rPr>
          <w:rFonts w:ascii="Palatino Linotype" w:hAnsi="Palatino Linotype"/>
          <w:i/>
          <w:iCs/>
          <w:sz w:val="26"/>
          <w:szCs w:val="26"/>
          <w:lang w:bidi="he-IL"/>
        </w:rPr>
        <w:t>hard</w:t>
      </w:r>
      <w:r>
        <w:rPr>
          <w:rFonts w:ascii="Palatino Linotype" w:hAnsi="Palatino Linotype"/>
          <w:sz w:val="26"/>
          <w:szCs w:val="26"/>
          <w:lang w:bidi="he-IL"/>
        </w:rPr>
        <w:t xml:space="preserve"> in every sense—physically to be impervious to pain or fatigue, mentally to be stern and unyielding, and, of course, inevitably to take the </w:t>
      </w:r>
      <w:proofErr w:type="spellStart"/>
      <w:r>
        <w:rPr>
          <w:rFonts w:ascii="Palatino Linotype" w:hAnsi="Palatino Linotype"/>
          <w:sz w:val="26"/>
          <w:szCs w:val="26"/>
          <w:lang w:bidi="he-IL"/>
        </w:rPr>
        <w:t>insertive</w:t>
      </w:r>
      <w:proofErr w:type="spellEnd"/>
      <w:r>
        <w:rPr>
          <w:rFonts w:ascii="Palatino Linotype" w:hAnsi="Palatino Linotype"/>
          <w:sz w:val="26"/>
          <w:szCs w:val="26"/>
          <w:lang w:bidi="he-IL"/>
        </w:rPr>
        <w:t xml:space="preserve"> position in sexual congress. … The Romans borrowed from the Greeks the wor</w:t>
      </w:r>
      <w:r w:rsidR="002A5342">
        <w:rPr>
          <w:rFonts w:ascii="Palatino Linotype" w:hAnsi="Palatino Linotype"/>
          <w:sz w:val="26"/>
          <w:szCs w:val="26"/>
          <w:lang w:bidi="he-IL"/>
        </w:rPr>
        <w:t>d</w:t>
      </w:r>
      <w:r>
        <w:rPr>
          <w:rFonts w:ascii="Palatino Linotype" w:hAnsi="Palatino Linotype"/>
          <w:sz w:val="26"/>
          <w:szCs w:val="26"/>
          <w:lang w:bidi="he-IL"/>
        </w:rPr>
        <w:t xml:space="preserve"> </w:t>
      </w:r>
      <w:proofErr w:type="spellStart"/>
      <w:r>
        <w:rPr>
          <w:rFonts w:ascii="Palatino Linotype" w:hAnsi="Palatino Linotype"/>
          <w:i/>
          <w:iCs/>
          <w:sz w:val="26"/>
          <w:szCs w:val="26"/>
          <w:lang w:bidi="he-IL"/>
        </w:rPr>
        <w:t>kinaidos</w:t>
      </w:r>
      <w:proofErr w:type="spellEnd"/>
      <w:r>
        <w:rPr>
          <w:rFonts w:ascii="Palatino Linotype" w:hAnsi="Palatino Linotype"/>
          <w:sz w:val="26"/>
          <w:szCs w:val="26"/>
          <w:lang w:bidi="he-IL"/>
        </w:rPr>
        <w:t xml:space="preserve">, denoting a man who allowed himself to be entered </w:t>
      </w:r>
      <w:proofErr w:type="spellStart"/>
      <w:r>
        <w:rPr>
          <w:rFonts w:ascii="Palatino Linotype" w:hAnsi="Palatino Linotype"/>
          <w:sz w:val="26"/>
          <w:szCs w:val="26"/>
          <w:lang w:bidi="he-IL"/>
        </w:rPr>
        <w:t>anally</w:t>
      </w:r>
      <w:proofErr w:type="spellEnd"/>
      <w:r>
        <w:rPr>
          <w:rFonts w:ascii="Palatino Linotype" w:hAnsi="Palatino Linotype"/>
          <w:sz w:val="26"/>
          <w:szCs w:val="26"/>
          <w:lang w:bidi="he-IL"/>
        </w:rPr>
        <w:t xml:space="preserve">. … Latinized as </w:t>
      </w:r>
      <w:proofErr w:type="spellStart"/>
      <w:r>
        <w:rPr>
          <w:rFonts w:ascii="Palatino Linotype" w:hAnsi="Palatino Linotype"/>
          <w:i/>
          <w:iCs/>
          <w:sz w:val="26"/>
          <w:szCs w:val="26"/>
          <w:lang w:bidi="he-IL"/>
        </w:rPr>
        <w:t>cinaedus</w:t>
      </w:r>
      <w:proofErr w:type="spellEnd"/>
      <w:r>
        <w:rPr>
          <w:rFonts w:ascii="Palatino Linotype" w:hAnsi="Palatino Linotype"/>
          <w:i/>
          <w:iCs/>
          <w:sz w:val="26"/>
          <w:szCs w:val="26"/>
          <w:lang w:bidi="he-IL"/>
        </w:rPr>
        <w:t xml:space="preserve">, </w:t>
      </w:r>
      <w:r>
        <w:rPr>
          <w:rFonts w:ascii="Palatino Linotype" w:hAnsi="Palatino Linotype"/>
          <w:sz w:val="26"/>
          <w:szCs w:val="26"/>
          <w:lang w:bidi="he-IL"/>
        </w:rPr>
        <w:t xml:space="preserve">it meant the opposite of </w:t>
      </w:r>
      <w:proofErr w:type="spellStart"/>
      <w:r>
        <w:rPr>
          <w:rFonts w:ascii="Palatino Linotype" w:hAnsi="Palatino Linotype"/>
          <w:i/>
          <w:iCs/>
          <w:sz w:val="26"/>
          <w:szCs w:val="26"/>
          <w:lang w:bidi="he-IL"/>
        </w:rPr>
        <w:t>vir</w:t>
      </w:r>
      <w:proofErr w:type="spellEnd"/>
      <w:r>
        <w:rPr>
          <w:rFonts w:ascii="Palatino Linotype" w:hAnsi="Palatino Linotype"/>
          <w:sz w:val="26"/>
          <w:szCs w:val="26"/>
          <w:lang w:bidi="he-IL"/>
        </w:rPr>
        <w:t xml:space="preserve">; </w:t>
      </w:r>
      <w:proofErr w:type="gramStart"/>
      <w:r>
        <w:rPr>
          <w:rFonts w:ascii="Palatino Linotype" w:hAnsi="Palatino Linotype"/>
          <w:sz w:val="26"/>
          <w:szCs w:val="26"/>
          <w:lang w:bidi="he-IL"/>
        </w:rPr>
        <w:t>thus</w:t>
      </w:r>
      <w:proofErr w:type="gramEnd"/>
      <w:r>
        <w:rPr>
          <w:rFonts w:ascii="Palatino Linotype" w:hAnsi="Palatino Linotype"/>
          <w:sz w:val="26"/>
          <w:szCs w:val="26"/>
          <w:lang w:bidi="he-IL"/>
        </w:rPr>
        <w:t xml:space="preserve"> Romans could be assigned to one of two categories, “man” (</w:t>
      </w:r>
      <w:proofErr w:type="spellStart"/>
      <w:r>
        <w:rPr>
          <w:rFonts w:ascii="Palatino Linotype" w:hAnsi="Palatino Linotype"/>
          <w:i/>
          <w:iCs/>
          <w:sz w:val="26"/>
          <w:szCs w:val="26"/>
          <w:lang w:bidi="he-IL"/>
        </w:rPr>
        <w:t>vir</w:t>
      </w:r>
      <w:proofErr w:type="spellEnd"/>
      <w:r>
        <w:rPr>
          <w:rFonts w:ascii="Palatino Linotype" w:hAnsi="Palatino Linotype"/>
          <w:sz w:val="26"/>
          <w:szCs w:val="26"/>
          <w:lang w:bidi="he-IL"/>
        </w:rPr>
        <w:t>) or “non-man” (</w:t>
      </w:r>
      <w:proofErr w:type="spellStart"/>
      <w:r>
        <w:rPr>
          <w:rFonts w:ascii="Palatino Linotype" w:hAnsi="Palatino Linotype"/>
          <w:i/>
          <w:iCs/>
          <w:sz w:val="26"/>
          <w:szCs w:val="26"/>
          <w:lang w:bidi="he-IL"/>
        </w:rPr>
        <w:t>cinaedus</w:t>
      </w:r>
      <w:proofErr w:type="spellEnd"/>
      <w:r>
        <w:rPr>
          <w:rFonts w:ascii="Palatino Linotype" w:hAnsi="Palatino Linotype"/>
          <w:sz w:val="26"/>
          <w:szCs w:val="26"/>
          <w:lang w:bidi="he-IL"/>
        </w:rPr>
        <w:t>).”</w:t>
      </w:r>
      <w:r>
        <w:rPr>
          <w:rStyle w:val="FootnoteReference"/>
          <w:rFonts w:ascii="Palatino Linotype" w:hAnsi="Palatino Linotype"/>
          <w:sz w:val="26"/>
          <w:szCs w:val="26"/>
          <w:lang w:bidi="he-IL"/>
        </w:rPr>
        <w:footnoteReference w:id="9"/>
      </w:r>
    </w:p>
    <w:p w14:paraId="37D9478A" w14:textId="751472CD" w:rsidR="004441C3" w:rsidRDefault="004441C3" w:rsidP="004441C3">
      <w:pPr>
        <w:contextualSpacing/>
        <w:rPr>
          <w:rFonts w:ascii="Palatino Linotype" w:hAnsi="Palatino Linotype"/>
          <w:sz w:val="24"/>
          <w:szCs w:val="24"/>
        </w:rPr>
      </w:pPr>
      <w:r>
        <w:rPr>
          <w:rFonts w:ascii="Palatino Linotype" w:hAnsi="Palatino Linotype"/>
          <w:sz w:val="24"/>
          <w:szCs w:val="24"/>
        </w:rPr>
        <w:t>Putting It All Together</w:t>
      </w:r>
    </w:p>
    <w:p w14:paraId="0AAFB740" w14:textId="5E8E6099" w:rsidR="004441C3" w:rsidRDefault="004441C3" w:rsidP="004441C3">
      <w:pPr>
        <w:pStyle w:val="ListParagraph"/>
        <w:numPr>
          <w:ilvl w:val="0"/>
          <w:numId w:val="13"/>
        </w:numPr>
        <w:rPr>
          <w:rFonts w:ascii="Palatino Linotype" w:hAnsi="Palatino Linotype"/>
          <w:sz w:val="24"/>
          <w:szCs w:val="24"/>
        </w:rPr>
      </w:pPr>
      <w:proofErr w:type="spellStart"/>
      <w:r>
        <w:rPr>
          <w:rFonts w:ascii="Palatino Linotype" w:hAnsi="Palatino Linotype"/>
          <w:i/>
          <w:iCs/>
          <w:sz w:val="24"/>
          <w:szCs w:val="24"/>
        </w:rPr>
        <w:t>malakoi</w:t>
      </w:r>
      <w:proofErr w:type="spellEnd"/>
      <w:r>
        <w:rPr>
          <w:rFonts w:ascii="Palatino Linotype" w:hAnsi="Palatino Linotype"/>
          <w:i/>
          <w:iCs/>
          <w:sz w:val="24"/>
          <w:szCs w:val="24"/>
        </w:rPr>
        <w:t xml:space="preserve"> </w:t>
      </w:r>
      <w:r>
        <w:rPr>
          <w:rFonts w:ascii="Palatino Linotype" w:hAnsi="Palatino Linotype"/>
          <w:sz w:val="24"/>
          <w:szCs w:val="24"/>
        </w:rPr>
        <w:t>(</w:t>
      </w:r>
      <w:r>
        <w:rPr>
          <w:rFonts w:ascii="Palatino Linotype" w:hAnsi="Palatino Linotype"/>
          <w:sz w:val="24"/>
          <w:szCs w:val="24"/>
          <w:lang w:val="el-GR"/>
        </w:rPr>
        <w:t>μαλακοὶ</w:t>
      </w:r>
      <w:r>
        <w:rPr>
          <w:rFonts w:ascii="Palatino Linotype" w:hAnsi="Palatino Linotype"/>
          <w:sz w:val="24"/>
          <w:szCs w:val="24"/>
          <w:lang w:bidi="he-IL"/>
        </w:rPr>
        <w:t xml:space="preserve">): the passive participant in </w:t>
      </w:r>
      <w:proofErr w:type="gramStart"/>
      <w:r>
        <w:rPr>
          <w:rFonts w:ascii="Palatino Linotype" w:hAnsi="Palatino Linotype"/>
          <w:sz w:val="24"/>
          <w:szCs w:val="24"/>
          <w:lang w:bidi="he-IL"/>
        </w:rPr>
        <w:t>male on male</w:t>
      </w:r>
      <w:proofErr w:type="gramEnd"/>
      <w:r>
        <w:rPr>
          <w:rFonts w:ascii="Palatino Linotype" w:hAnsi="Palatino Linotype"/>
          <w:sz w:val="24"/>
          <w:szCs w:val="24"/>
          <w:lang w:bidi="he-IL"/>
        </w:rPr>
        <w:t xml:space="preserve"> sex of any age</w:t>
      </w:r>
    </w:p>
    <w:p w14:paraId="42B41BDF" w14:textId="53712D4C" w:rsidR="004441C3" w:rsidRDefault="004441C3" w:rsidP="004441C3">
      <w:pPr>
        <w:pStyle w:val="ListParagraph"/>
        <w:numPr>
          <w:ilvl w:val="0"/>
          <w:numId w:val="13"/>
        </w:numPr>
        <w:rPr>
          <w:rFonts w:ascii="Palatino Linotype" w:hAnsi="Palatino Linotype"/>
          <w:sz w:val="24"/>
          <w:szCs w:val="24"/>
        </w:rPr>
      </w:pPr>
      <w:proofErr w:type="spellStart"/>
      <w:r>
        <w:rPr>
          <w:rFonts w:ascii="Palatino Linotype" w:hAnsi="Palatino Linotype"/>
          <w:i/>
          <w:iCs/>
          <w:sz w:val="24"/>
          <w:szCs w:val="24"/>
        </w:rPr>
        <w:t>arsenokoitai</w:t>
      </w:r>
      <w:proofErr w:type="spellEnd"/>
      <w:r>
        <w:rPr>
          <w:rFonts w:ascii="Palatino Linotype" w:hAnsi="Palatino Linotype"/>
          <w:i/>
          <w:iCs/>
          <w:sz w:val="24"/>
          <w:szCs w:val="24"/>
        </w:rPr>
        <w:t xml:space="preserve"> </w:t>
      </w:r>
      <w:r>
        <w:rPr>
          <w:rFonts w:ascii="Palatino Linotype" w:hAnsi="Palatino Linotype"/>
          <w:sz w:val="24"/>
          <w:szCs w:val="24"/>
        </w:rPr>
        <w:t>(</w:t>
      </w:r>
      <w:r>
        <w:rPr>
          <w:rFonts w:ascii="Palatino Linotype" w:hAnsi="Palatino Linotype"/>
          <w:sz w:val="24"/>
          <w:szCs w:val="24"/>
          <w:lang w:val="el-GR"/>
        </w:rPr>
        <w:t>ἀρσενοκοῖται</w:t>
      </w:r>
      <w:r>
        <w:rPr>
          <w:rFonts w:ascii="Palatino Linotype" w:hAnsi="Palatino Linotype"/>
          <w:sz w:val="24"/>
          <w:szCs w:val="24"/>
          <w:lang w:bidi="he-IL"/>
        </w:rPr>
        <w:t xml:space="preserve">): the active participant in </w:t>
      </w:r>
      <w:proofErr w:type="gramStart"/>
      <w:r>
        <w:rPr>
          <w:rFonts w:ascii="Palatino Linotype" w:hAnsi="Palatino Linotype"/>
          <w:sz w:val="24"/>
          <w:szCs w:val="24"/>
          <w:lang w:bidi="he-IL"/>
        </w:rPr>
        <w:t>male on male</w:t>
      </w:r>
      <w:proofErr w:type="gramEnd"/>
      <w:r>
        <w:rPr>
          <w:rFonts w:ascii="Palatino Linotype" w:hAnsi="Palatino Linotype"/>
          <w:sz w:val="24"/>
          <w:szCs w:val="24"/>
          <w:lang w:bidi="he-IL"/>
        </w:rPr>
        <w:t xml:space="preserve"> sex of any age</w:t>
      </w:r>
    </w:p>
    <w:p w14:paraId="32F275B9" w14:textId="7A500C67" w:rsidR="004441C3" w:rsidRDefault="004441C3"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Paul spoke to the Corinthians in such a way that </w:t>
      </w:r>
      <w:proofErr w:type="gramStart"/>
      <w:r>
        <w:rPr>
          <w:rFonts w:ascii="Palatino Linotype" w:hAnsi="Palatino Linotype"/>
          <w:sz w:val="24"/>
          <w:szCs w:val="24"/>
        </w:rPr>
        <w:t>communicated</w:t>
      </w:r>
      <w:proofErr w:type="gramEnd"/>
      <w:r>
        <w:rPr>
          <w:rFonts w:ascii="Palatino Linotype" w:hAnsi="Palatino Linotype"/>
          <w:sz w:val="24"/>
          <w:szCs w:val="24"/>
        </w:rPr>
        <w:t xml:space="preserve"> both roles were sinful acts. He did not </w:t>
      </w:r>
      <w:r w:rsidR="00F74134">
        <w:rPr>
          <w:rFonts w:ascii="Palatino Linotype" w:hAnsi="Palatino Linotype"/>
          <w:sz w:val="24"/>
          <w:szCs w:val="24"/>
        </w:rPr>
        <w:t xml:space="preserve">outlaw </w:t>
      </w:r>
      <w:r>
        <w:rPr>
          <w:rFonts w:ascii="Palatino Linotype" w:hAnsi="Palatino Linotype"/>
          <w:sz w:val="24"/>
          <w:szCs w:val="24"/>
        </w:rPr>
        <w:t>homosexuality in our modern sense of orientation. Like the Old Testament, Paul solely focused on the sex act itself.</w:t>
      </w:r>
      <w:r w:rsidR="00A11E54">
        <w:rPr>
          <w:rFonts w:ascii="Palatino Linotype" w:hAnsi="Palatino Linotype"/>
          <w:sz w:val="24"/>
          <w:szCs w:val="24"/>
        </w:rPr>
        <w:t xml:space="preserve"> Corinthian Christians should not engage in sex with the same sex</w:t>
      </w:r>
      <w:r w:rsidR="00FF4A23">
        <w:rPr>
          <w:rFonts w:ascii="Palatino Linotype" w:hAnsi="Palatino Linotype"/>
          <w:sz w:val="24"/>
          <w:szCs w:val="24"/>
        </w:rPr>
        <w:t>.</w:t>
      </w:r>
    </w:p>
    <w:p w14:paraId="6B0659A6" w14:textId="217DA4CF" w:rsidR="004441C3" w:rsidRDefault="004441C3" w:rsidP="004441C3">
      <w:pPr>
        <w:pStyle w:val="ListParagraph"/>
        <w:numPr>
          <w:ilvl w:val="0"/>
          <w:numId w:val="13"/>
        </w:numPr>
        <w:rPr>
          <w:rFonts w:ascii="Palatino Linotype" w:hAnsi="Palatino Linotype"/>
          <w:sz w:val="24"/>
          <w:szCs w:val="24"/>
        </w:rPr>
      </w:pPr>
      <w:r>
        <w:rPr>
          <w:rFonts w:ascii="Palatino Linotype" w:hAnsi="Palatino Linotype"/>
          <w:sz w:val="24"/>
          <w:szCs w:val="24"/>
        </w:rPr>
        <w:t>Furthermore, Paul fully believed that people who engaged in this activity could become washed, sanctified, and justified (1 Cor 6:11)</w:t>
      </w:r>
    </w:p>
    <w:p w14:paraId="3B2DE62A" w14:textId="56C86B90" w:rsidR="0026169B" w:rsidRDefault="004441C3" w:rsidP="004441C3">
      <w:pPr>
        <w:contextualSpacing/>
        <w:rPr>
          <w:rFonts w:ascii="Palatino Linotype" w:hAnsi="Palatino Linotype"/>
          <w:sz w:val="24"/>
          <w:szCs w:val="24"/>
        </w:rPr>
      </w:pPr>
      <w:r w:rsidRPr="004441C3">
        <w:rPr>
          <w:rFonts w:ascii="Palatino Linotype" w:hAnsi="Palatino Linotype"/>
          <w:sz w:val="24"/>
          <w:szCs w:val="24"/>
        </w:rPr>
        <w:t>Singleness</w:t>
      </w:r>
    </w:p>
    <w:p w14:paraId="02E1BBBB" w14:textId="0C76B985" w:rsidR="004441C3" w:rsidRDefault="004441C3" w:rsidP="004441C3">
      <w:pPr>
        <w:pStyle w:val="ListParagraph"/>
        <w:numPr>
          <w:ilvl w:val="0"/>
          <w:numId w:val="13"/>
        </w:numPr>
        <w:rPr>
          <w:rFonts w:ascii="Palatino Linotype" w:hAnsi="Palatino Linotype"/>
          <w:sz w:val="24"/>
          <w:szCs w:val="24"/>
        </w:rPr>
      </w:pPr>
      <w:r>
        <w:rPr>
          <w:rFonts w:ascii="Palatino Linotype" w:hAnsi="Palatino Linotype"/>
          <w:sz w:val="24"/>
          <w:szCs w:val="24"/>
        </w:rPr>
        <w:lastRenderedPageBreak/>
        <w:t xml:space="preserve">Paul was single; Jesus was single; many effective Christians over the last two millennia were single. </w:t>
      </w:r>
      <w:r w:rsidR="00B3648F">
        <w:rPr>
          <w:rFonts w:ascii="Palatino Linotype" w:hAnsi="Palatino Linotype"/>
          <w:sz w:val="24"/>
          <w:szCs w:val="24"/>
        </w:rPr>
        <w:t>Marriage is not salvation</w:t>
      </w:r>
      <w:r w:rsidR="00FF4A23">
        <w:rPr>
          <w:rFonts w:ascii="Palatino Linotype" w:hAnsi="Palatino Linotype"/>
          <w:sz w:val="24"/>
          <w:szCs w:val="24"/>
        </w:rPr>
        <w:t>.</w:t>
      </w:r>
    </w:p>
    <w:p w14:paraId="5B0C5C68" w14:textId="01AFC0C0" w:rsidR="00B3648F" w:rsidRDefault="00B3648F"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1 Corinthians 7:7-9 </w:t>
      </w:r>
      <w:r w:rsidR="005C71F5">
        <w:rPr>
          <w:rFonts w:ascii="Palatino Linotype" w:hAnsi="Palatino Linotype"/>
          <w:sz w:val="24"/>
          <w:szCs w:val="24"/>
        </w:rPr>
        <w:t xml:space="preserve">  </w:t>
      </w:r>
      <w:r>
        <w:rPr>
          <w:rFonts w:ascii="Palatino Linotype" w:hAnsi="Palatino Linotype"/>
          <w:sz w:val="24"/>
          <w:szCs w:val="24"/>
        </w:rPr>
        <w:t>Paul thought singleness was better than marriage</w:t>
      </w:r>
      <w:r w:rsidR="00757AF8">
        <w:rPr>
          <w:rFonts w:ascii="Palatino Linotype" w:hAnsi="Palatino Linotype"/>
          <w:sz w:val="24"/>
          <w:szCs w:val="24"/>
        </w:rPr>
        <w:t>.</w:t>
      </w:r>
    </w:p>
    <w:p w14:paraId="2B3442B2" w14:textId="72D1EF26" w:rsidR="00B3648F" w:rsidRDefault="00B3648F" w:rsidP="004441C3">
      <w:pPr>
        <w:pStyle w:val="ListParagraph"/>
        <w:numPr>
          <w:ilvl w:val="0"/>
          <w:numId w:val="13"/>
        </w:numPr>
        <w:rPr>
          <w:rFonts w:ascii="Palatino Linotype" w:hAnsi="Palatino Linotype"/>
          <w:sz w:val="24"/>
          <w:szCs w:val="24"/>
        </w:rPr>
      </w:pPr>
      <w:r>
        <w:rPr>
          <w:rFonts w:ascii="Palatino Linotype" w:hAnsi="Palatino Linotype"/>
          <w:sz w:val="24"/>
          <w:szCs w:val="24"/>
        </w:rPr>
        <w:t>1 Corinthians 7:28</w:t>
      </w:r>
      <w:r w:rsidR="005C71F5">
        <w:rPr>
          <w:rFonts w:ascii="Palatino Linotype" w:hAnsi="Palatino Linotype"/>
          <w:sz w:val="24"/>
          <w:szCs w:val="24"/>
        </w:rPr>
        <w:t xml:space="preserve">  </w:t>
      </w:r>
      <w:r>
        <w:rPr>
          <w:rFonts w:ascii="Palatino Linotype" w:hAnsi="Palatino Linotype"/>
          <w:sz w:val="24"/>
          <w:szCs w:val="24"/>
        </w:rPr>
        <w:t xml:space="preserve"> Married people face distresses that singles don’t</w:t>
      </w:r>
      <w:r w:rsidR="00757AF8">
        <w:rPr>
          <w:rFonts w:ascii="Palatino Linotype" w:hAnsi="Palatino Linotype"/>
          <w:sz w:val="24"/>
          <w:szCs w:val="24"/>
        </w:rPr>
        <w:t>.</w:t>
      </w:r>
    </w:p>
    <w:p w14:paraId="49021AB1" w14:textId="2CB96D68" w:rsidR="00B3648F" w:rsidRDefault="00B3648F"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1 Corinthians 7:32-35 </w:t>
      </w:r>
      <w:r w:rsidR="005C71F5">
        <w:rPr>
          <w:rFonts w:ascii="Palatino Linotype" w:hAnsi="Palatino Linotype"/>
          <w:sz w:val="24"/>
          <w:szCs w:val="24"/>
        </w:rPr>
        <w:t xml:space="preserve">  </w:t>
      </w:r>
      <w:r>
        <w:rPr>
          <w:rFonts w:ascii="Palatino Linotype" w:hAnsi="Palatino Linotype"/>
          <w:sz w:val="24"/>
          <w:szCs w:val="24"/>
        </w:rPr>
        <w:t xml:space="preserve">Single people can serve God more effectively. </w:t>
      </w:r>
    </w:p>
    <w:p w14:paraId="5E981ED6" w14:textId="76F4E353" w:rsidR="00B3648F" w:rsidRDefault="00B3648F" w:rsidP="004441C3">
      <w:pPr>
        <w:pStyle w:val="ListParagraph"/>
        <w:numPr>
          <w:ilvl w:val="0"/>
          <w:numId w:val="13"/>
        </w:numPr>
        <w:rPr>
          <w:rFonts w:ascii="Palatino Linotype" w:hAnsi="Palatino Linotype"/>
          <w:sz w:val="24"/>
          <w:szCs w:val="24"/>
        </w:rPr>
      </w:pPr>
      <w:r>
        <w:rPr>
          <w:rFonts w:ascii="Palatino Linotype" w:hAnsi="Palatino Linotype"/>
          <w:sz w:val="24"/>
          <w:szCs w:val="24"/>
        </w:rPr>
        <w:t xml:space="preserve">1 Corinthians 7:36-40 </w:t>
      </w:r>
      <w:r w:rsidR="005C71F5">
        <w:rPr>
          <w:rFonts w:ascii="Palatino Linotype" w:hAnsi="Palatino Linotype"/>
          <w:sz w:val="24"/>
          <w:szCs w:val="24"/>
        </w:rPr>
        <w:t xml:space="preserve">  </w:t>
      </w:r>
      <w:r>
        <w:rPr>
          <w:rFonts w:ascii="Palatino Linotype" w:hAnsi="Palatino Linotype"/>
          <w:sz w:val="24"/>
          <w:szCs w:val="24"/>
        </w:rPr>
        <w:t>What matters most is your relationship with God</w:t>
      </w:r>
      <w:r w:rsidR="005C71F5">
        <w:rPr>
          <w:rFonts w:ascii="Palatino Linotype" w:hAnsi="Palatino Linotype"/>
          <w:sz w:val="24"/>
          <w:szCs w:val="24"/>
        </w:rPr>
        <w:t>,</w:t>
      </w:r>
      <w:r>
        <w:rPr>
          <w:rFonts w:ascii="Palatino Linotype" w:hAnsi="Palatino Linotype"/>
          <w:sz w:val="24"/>
          <w:szCs w:val="24"/>
        </w:rPr>
        <w:t xml:space="preserve"> not your marital status. </w:t>
      </w:r>
    </w:p>
    <w:p w14:paraId="12695343" w14:textId="729D147C" w:rsidR="00B3648F" w:rsidRPr="004441C3" w:rsidRDefault="00B3648F" w:rsidP="004441C3">
      <w:pPr>
        <w:pStyle w:val="ListParagraph"/>
        <w:numPr>
          <w:ilvl w:val="0"/>
          <w:numId w:val="13"/>
        </w:numPr>
        <w:rPr>
          <w:rFonts w:ascii="Palatino Linotype" w:hAnsi="Palatino Linotype"/>
          <w:sz w:val="24"/>
          <w:szCs w:val="24"/>
        </w:rPr>
      </w:pPr>
      <w:r>
        <w:rPr>
          <w:rFonts w:ascii="Palatino Linotype" w:hAnsi="Palatino Linotype"/>
          <w:sz w:val="24"/>
          <w:szCs w:val="24"/>
        </w:rPr>
        <w:t>God loves masculine women and feminine men. God loves those who are attracted to the same sex. God loves those who don’t like their biological sex. God wants everyone to come to Christ and have eternal life. However, once someone becomes a Christian, he or she is bound to live within the boundaries God has set for behavior. Choosing singleness is available for anyone, but especially those who—for whatever reason—do not want to marry someone of the opposite sex.</w:t>
      </w:r>
    </w:p>
    <w:p w14:paraId="3BB4550F" w14:textId="77777777" w:rsidR="006D0614" w:rsidRDefault="006D0614" w:rsidP="004441C3">
      <w:pPr>
        <w:contextualSpacing/>
        <w:rPr>
          <w:rFonts w:ascii="Palatino Linotype" w:hAnsi="Palatino Linotype"/>
          <w:b/>
          <w:bCs/>
          <w:sz w:val="24"/>
          <w:szCs w:val="24"/>
        </w:rPr>
      </w:pPr>
    </w:p>
    <w:p w14:paraId="0D59C90E" w14:textId="11DF362C" w:rsidR="0026169B" w:rsidRPr="0026169B" w:rsidRDefault="0026169B" w:rsidP="004441C3">
      <w:pPr>
        <w:contextualSpacing/>
        <w:rPr>
          <w:rFonts w:ascii="Palatino Linotype" w:hAnsi="Palatino Linotype"/>
          <w:b/>
          <w:bCs/>
          <w:sz w:val="24"/>
          <w:szCs w:val="24"/>
        </w:rPr>
      </w:pPr>
      <w:r w:rsidRPr="0026169B">
        <w:rPr>
          <w:rFonts w:ascii="Palatino Linotype" w:hAnsi="Palatino Linotype"/>
          <w:b/>
          <w:bCs/>
          <w:sz w:val="24"/>
          <w:szCs w:val="24"/>
        </w:rPr>
        <w:t>Bibliography</w:t>
      </w:r>
    </w:p>
    <w:p w14:paraId="589ABC1E" w14:textId="77777777" w:rsidR="007C1756" w:rsidRPr="007C1756" w:rsidRDefault="00CD61F0" w:rsidP="004441C3">
      <w:pPr>
        <w:pStyle w:val="EndNoteBibliography"/>
        <w:ind w:left="720" w:hanging="720"/>
        <w:contextualSpacing/>
      </w:pPr>
      <w:r>
        <w:rPr>
          <w:rFonts w:ascii="Palatino Linotype" w:hAnsi="Palatino Linotype"/>
          <w:sz w:val="24"/>
          <w:szCs w:val="24"/>
        </w:rPr>
        <w:fldChar w:fldCharType="begin"/>
      </w:r>
      <w:r>
        <w:rPr>
          <w:rFonts w:ascii="Palatino Linotype" w:hAnsi="Palatino Linotype"/>
          <w:sz w:val="24"/>
          <w:szCs w:val="24"/>
        </w:rPr>
        <w:instrText xml:space="preserve"> ADDIN EN.REFLIST </w:instrText>
      </w:r>
      <w:r>
        <w:rPr>
          <w:rFonts w:ascii="Palatino Linotype" w:hAnsi="Palatino Linotype"/>
          <w:sz w:val="24"/>
          <w:szCs w:val="24"/>
        </w:rPr>
        <w:fldChar w:fldCharType="separate"/>
      </w:r>
      <w:r w:rsidR="007C1756" w:rsidRPr="007C1756">
        <w:t xml:space="preserve">Bauer, Walter, Frederick William  Danker, William F. Arndt, F. Gingrich, Kurt Aland, Barbara Aland, and Viktor Reichmann. </w:t>
      </w:r>
      <w:r w:rsidR="007C1756" w:rsidRPr="007C1756">
        <w:rPr>
          <w:i/>
        </w:rPr>
        <w:t>A Greek-English Lexicon of the New Testament and Other Early Christian Literature</w:t>
      </w:r>
      <w:r w:rsidR="007C1756" w:rsidRPr="007C1756">
        <w:t>. 3rd ed. Chicago: The University of Chicago Press, 2000.</w:t>
      </w:r>
    </w:p>
    <w:p w14:paraId="1A19C6EF" w14:textId="77777777" w:rsidR="007C1756" w:rsidRPr="007C1756" w:rsidRDefault="007C1756" w:rsidP="004441C3">
      <w:pPr>
        <w:pStyle w:val="EndNoteBibliography"/>
        <w:spacing w:after="0"/>
        <w:contextualSpacing/>
      </w:pPr>
    </w:p>
    <w:p w14:paraId="6E75C8BF" w14:textId="77777777" w:rsidR="007C1756" w:rsidRPr="007C1756" w:rsidRDefault="007C1756" w:rsidP="004441C3">
      <w:pPr>
        <w:pStyle w:val="EndNoteBibliography"/>
        <w:ind w:left="720" w:hanging="720"/>
        <w:contextualSpacing/>
      </w:pPr>
      <w:r w:rsidRPr="007C1756">
        <w:t xml:space="preserve">Epictetus. </w:t>
      </w:r>
      <w:r w:rsidRPr="007C1756">
        <w:rPr>
          <w:i/>
        </w:rPr>
        <w:t>The Complete Works: Handbook, Discourses &amp; Fragments</w:t>
      </w:r>
      <w:r w:rsidRPr="007C1756">
        <w:t>. Translated by Robin Waterfield. Chicago, IL: University of Chicago, 2022.</w:t>
      </w:r>
    </w:p>
    <w:p w14:paraId="0B801A51" w14:textId="77777777" w:rsidR="007C1756" w:rsidRPr="007C1756" w:rsidRDefault="007C1756" w:rsidP="004441C3">
      <w:pPr>
        <w:pStyle w:val="EndNoteBibliography"/>
        <w:spacing w:after="0"/>
        <w:contextualSpacing/>
      </w:pPr>
    </w:p>
    <w:p w14:paraId="23D9766E" w14:textId="77777777" w:rsidR="007C1756" w:rsidRPr="007C1756" w:rsidRDefault="007C1756" w:rsidP="004441C3">
      <w:pPr>
        <w:pStyle w:val="EndNoteBibliography"/>
        <w:ind w:left="720" w:hanging="720"/>
        <w:contextualSpacing/>
      </w:pPr>
      <w:r w:rsidRPr="007C1756">
        <w:t xml:space="preserve">Horace. </w:t>
      </w:r>
      <w:r w:rsidRPr="007C1756">
        <w:rPr>
          <w:i/>
        </w:rPr>
        <w:t>Satires and Epistles</w:t>
      </w:r>
      <w:r w:rsidRPr="007C1756">
        <w:t>. Translated by Niall Rudd. London, England: Penguin, 2005.</w:t>
      </w:r>
    </w:p>
    <w:p w14:paraId="05ACF1F1" w14:textId="77777777" w:rsidR="007C1756" w:rsidRPr="007C1756" w:rsidRDefault="007C1756" w:rsidP="004441C3">
      <w:pPr>
        <w:pStyle w:val="EndNoteBibliography"/>
        <w:spacing w:after="0"/>
        <w:contextualSpacing/>
      </w:pPr>
    </w:p>
    <w:p w14:paraId="07219833" w14:textId="77777777" w:rsidR="007C1756" w:rsidRPr="007C1756" w:rsidRDefault="007C1756" w:rsidP="004441C3">
      <w:pPr>
        <w:pStyle w:val="EndNoteBibliography"/>
        <w:ind w:left="720" w:hanging="720"/>
        <w:contextualSpacing/>
      </w:pPr>
      <w:r w:rsidRPr="007C1756">
        <w:t xml:space="preserve">Hubbard, Moyer V. </w:t>
      </w:r>
      <w:r w:rsidRPr="007C1756">
        <w:rPr>
          <w:i/>
        </w:rPr>
        <w:t>Christianity in the Greco-Roman World</w:t>
      </w:r>
      <w:r w:rsidRPr="007C1756">
        <w:t>. Grand Rapids, MI: Baker Academic, 2010.</w:t>
      </w:r>
    </w:p>
    <w:p w14:paraId="438C99E2" w14:textId="77777777" w:rsidR="007C1756" w:rsidRPr="007C1756" w:rsidRDefault="007C1756" w:rsidP="004441C3">
      <w:pPr>
        <w:pStyle w:val="EndNoteBibliography"/>
        <w:spacing w:after="0"/>
        <w:contextualSpacing/>
      </w:pPr>
    </w:p>
    <w:p w14:paraId="669897A3" w14:textId="77777777" w:rsidR="007C1756" w:rsidRPr="007C1756" w:rsidRDefault="007C1756" w:rsidP="004441C3">
      <w:pPr>
        <w:pStyle w:val="EndNoteBibliography"/>
        <w:ind w:left="720" w:hanging="720"/>
        <w:contextualSpacing/>
      </w:pPr>
      <w:r w:rsidRPr="007C1756">
        <w:t xml:space="preserve">Juvenal. </w:t>
      </w:r>
      <w:r w:rsidRPr="007C1756">
        <w:rPr>
          <w:i/>
        </w:rPr>
        <w:t>The Sixteen Satires</w:t>
      </w:r>
      <w:r w:rsidRPr="007C1756">
        <w:t>. Translated by Peter Green. 3rd ed. London, England: Penguin, 2004.</w:t>
      </w:r>
    </w:p>
    <w:p w14:paraId="6027F0D7" w14:textId="77777777" w:rsidR="007C1756" w:rsidRPr="007C1756" w:rsidRDefault="007C1756" w:rsidP="004441C3">
      <w:pPr>
        <w:pStyle w:val="EndNoteBibliography"/>
        <w:spacing w:after="0"/>
        <w:contextualSpacing/>
      </w:pPr>
    </w:p>
    <w:p w14:paraId="2B034D1B" w14:textId="77777777" w:rsidR="007C1756" w:rsidRPr="007C1756" w:rsidRDefault="007C1756" w:rsidP="004441C3">
      <w:pPr>
        <w:pStyle w:val="EndNoteBibliography"/>
        <w:ind w:left="720" w:hanging="720"/>
        <w:contextualSpacing/>
      </w:pPr>
      <w:r w:rsidRPr="007C1756">
        <w:t xml:space="preserve">Phaedrus. </w:t>
      </w:r>
      <w:r w:rsidRPr="007C1756">
        <w:rPr>
          <w:i/>
        </w:rPr>
        <w:t>The Fables of Phaedrus</w:t>
      </w:r>
      <w:r w:rsidRPr="007C1756">
        <w:t>. Translated by P. F. Widdows. Austin, TX: Univeristy of Texas Press, 1992.</w:t>
      </w:r>
    </w:p>
    <w:p w14:paraId="169E272F" w14:textId="77777777" w:rsidR="007C1756" w:rsidRPr="007C1756" w:rsidRDefault="007C1756" w:rsidP="004441C3">
      <w:pPr>
        <w:pStyle w:val="EndNoteBibliography"/>
        <w:spacing w:after="0"/>
        <w:contextualSpacing/>
      </w:pPr>
    </w:p>
    <w:p w14:paraId="7E9BEAD4" w14:textId="77777777" w:rsidR="007C1756" w:rsidRPr="007C1756" w:rsidRDefault="007C1756" w:rsidP="004441C3">
      <w:pPr>
        <w:pStyle w:val="EndNoteBibliography"/>
        <w:ind w:left="720" w:hanging="720"/>
        <w:contextualSpacing/>
      </w:pPr>
      <w:r w:rsidRPr="007C1756">
        <w:t xml:space="preserve">Skinner, Marilyn B. </w:t>
      </w:r>
      <w:r w:rsidRPr="007C1756">
        <w:rPr>
          <w:i/>
        </w:rPr>
        <w:t>Sexuality in Greek and Roman Culture</w:t>
      </w:r>
      <w:r w:rsidRPr="007C1756">
        <w:t>. Oxford, England: Blackwell, 2005.</w:t>
      </w:r>
    </w:p>
    <w:p w14:paraId="3A8F97FC" w14:textId="77777777" w:rsidR="007C1756" w:rsidRPr="007C1756" w:rsidRDefault="007C1756" w:rsidP="004441C3">
      <w:pPr>
        <w:pStyle w:val="EndNoteBibliography"/>
        <w:contextualSpacing/>
      </w:pPr>
    </w:p>
    <w:p w14:paraId="4A5D79C3" w14:textId="3E8CCC8A" w:rsidR="00610CC6" w:rsidRPr="005948AF" w:rsidRDefault="00CD61F0" w:rsidP="004441C3">
      <w:pPr>
        <w:contextualSpacing/>
        <w:rPr>
          <w:rFonts w:ascii="Palatino Linotype" w:hAnsi="Palatino Linotype"/>
          <w:sz w:val="24"/>
          <w:szCs w:val="24"/>
        </w:rPr>
      </w:pPr>
      <w:r>
        <w:rPr>
          <w:rFonts w:ascii="Palatino Linotype" w:hAnsi="Palatino Linotype"/>
          <w:sz w:val="24"/>
          <w:szCs w:val="24"/>
        </w:rPr>
        <w:fldChar w:fldCharType="end"/>
      </w:r>
    </w:p>
    <w:sectPr w:rsidR="00610CC6" w:rsidRPr="00594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6B48" w14:textId="77777777" w:rsidR="00380DC6" w:rsidRDefault="00380DC6" w:rsidP="006930AF">
      <w:pPr>
        <w:spacing w:after="0" w:line="240" w:lineRule="auto"/>
      </w:pPr>
      <w:r>
        <w:separator/>
      </w:r>
    </w:p>
  </w:endnote>
  <w:endnote w:type="continuationSeparator" w:id="0">
    <w:p w14:paraId="582E37F6" w14:textId="77777777" w:rsidR="00380DC6" w:rsidRDefault="00380DC6" w:rsidP="0069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20329"/>
      <w:docPartObj>
        <w:docPartGallery w:val="Page Numbers (Bottom of Page)"/>
        <w:docPartUnique/>
      </w:docPartObj>
    </w:sdtPr>
    <w:sdtEndPr>
      <w:rPr>
        <w:noProof/>
      </w:rPr>
    </w:sdtEndPr>
    <w:sdtContent>
      <w:p w14:paraId="1454AFB5" w14:textId="77777777" w:rsidR="006930AF" w:rsidRDefault="006930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61E3" w14:textId="77777777" w:rsidR="006930AF" w:rsidRDefault="0069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4795" w14:textId="77777777" w:rsidR="00380DC6" w:rsidRDefault="00380DC6" w:rsidP="006930AF">
      <w:pPr>
        <w:spacing w:after="0" w:line="240" w:lineRule="auto"/>
      </w:pPr>
      <w:r>
        <w:separator/>
      </w:r>
    </w:p>
  </w:footnote>
  <w:footnote w:type="continuationSeparator" w:id="0">
    <w:p w14:paraId="2890DAB2" w14:textId="77777777" w:rsidR="00380DC6" w:rsidRDefault="00380DC6" w:rsidP="006930AF">
      <w:pPr>
        <w:spacing w:after="0" w:line="240" w:lineRule="auto"/>
      </w:pPr>
      <w:r>
        <w:continuationSeparator/>
      </w:r>
    </w:p>
  </w:footnote>
  <w:footnote w:id="1">
    <w:p w14:paraId="5FF3A75E" w14:textId="77777777" w:rsidR="006D0614" w:rsidRDefault="006D0614" w:rsidP="006D0614">
      <w:pPr>
        <w:pStyle w:val="FootnoteText"/>
      </w:pPr>
      <w:r>
        <w:rPr>
          <w:rStyle w:val="FootnoteReference"/>
        </w:rPr>
        <w:footnoteRef/>
      </w:r>
      <w:r>
        <w:t xml:space="preserve"> </w:t>
      </w:r>
      <w:r>
        <w:fldChar w:fldCharType="begin"/>
      </w:r>
      <w:r>
        <w:instrText xml:space="preserve"> ADDIN EN.CITE &lt;EndNote&gt;&lt;Cite&gt;&lt;Author&gt;Hubbard&lt;/Author&gt;&lt;Year&gt;2010&lt;/Year&gt;&lt;RecNum&gt;488&lt;/RecNum&gt;&lt;Pages&gt;188&lt;/Pages&gt;&lt;DisplayText&gt;Moyer V. Hubbard, &lt;style face="italic"&gt;Christianity in the Greco-Roman World&lt;/style&gt; (Grand Rapids, MI: Baker Academic, 2010), 188.&lt;/DisplayText&gt;&lt;record&gt;&lt;rec-number&gt;488&lt;/rec-number&gt;&lt;foreign-keys&gt;&lt;key app="EN" db-id="rvzp5afzc2eppgewzt5x0esos0rsevefr9z5" timestamp="1737826975"&gt;488&lt;/key&gt;&lt;/foreign-keys&gt;&lt;ref-type name="Book"&gt;6&lt;/ref-type&gt;&lt;contributors&gt;&lt;authors&gt;&lt;author&gt;Moyer V. Hubbard&lt;/author&gt;&lt;/authors&gt;&lt;/contributors&gt;&lt;titles&gt;&lt;title&gt;Christianity in the Greco-Roman World&lt;/title&gt;&lt;/titles&gt;&lt;dates&gt;&lt;year&gt;2010&lt;/year&gt;&lt;/dates&gt;&lt;pub-location&gt;Grand Rapids, MI&lt;/pub-location&gt;&lt;publisher&gt;Baker Academic&lt;/publisher&gt;&lt;urls&gt;&lt;/urls&gt;&lt;/record&gt;&lt;/Cite&gt;&lt;/EndNote&gt;</w:instrText>
      </w:r>
      <w:r>
        <w:fldChar w:fldCharType="separate"/>
      </w:r>
      <w:r>
        <w:rPr>
          <w:noProof/>
        </w:rPr>
        <w:t xml:space="preserve">Moyer V. Hubbard, </w:t>
      </w:r>
      <w:r w:rsidRPr="009F599C">
        <w:rPr>
          <w:i/>
          <w:noProof/>
        </w:rPr>
        <w:t>Christianity in the Greco-Roman World</w:t>
      </w:r>
      <w:r>
        <w:rPr>
          <w:noProof/>
        </w:rPr>
        <w:t xml:space="preserve"> (Grand Rapids, MI: Baker Academic, 2010), 188.</w:t>
      </w:r>
      <w:r>
        <w:fldChar w:fldCharType="end"/>
      </w:r>
    </w:p>
  </w:footnote>
  <w:footnote w:id="2">
    <w:p w14:paraId="7E69F7F2" w14:textId="77777777" w:rsidR="006D0614" w:rsidRDefault="006D0614" w:rsidP="006D0614">
      <w:pPr>
        <w:pStyle w:val="FootnoteText"/>
      </w:pPr>
      <w:r>
        <w:rPr>
          <w:rStyle w:val="FootnoteReference"/>
        </w:rPr>
        <w:footnoteRef/>
      </w:r>
      <w:r>
        <w:t xml:space="preserve"> </w:t>
      </w:r>
      <w:r>
        <w:fldChar w:fldCharType="begin"/>
      </w:r>
      <w:r>
        <w:instrText xml:space="preserve"> ADDIN EN.CITE &lt;EndNote&gt;&lt;Cite&gt;&lt;Author&gt;Skinner&lt;/Author&gt;&lt;Year&gt;2005&lt;/Year&gt;&lt;RecNum&gt;492&lt;/RecNum&gt;&lt;Pages&gt;195-7&lt;/Pages&gt;&lt;DisplayText&gt;Marilyn B. Skinner, &lt;style face="italic"&gt;Sexuality in Greek and Roman Culture&lt;/style&gt; (Oxford, England: Blackwell, 2005), 195-7.&lt;/DisplayText&gt;&lt;record&gt;&lt;rec-number&gt;492&lt;/rec-number&gt;&lt;foreign-keys&gt;&lt;key app="EN" db-id="rvzp5afzc2eppgewzt5x0esos0rsevefr9z5" timestamp="1737925800"&gt;492&lt;/key&gt;&lt;/foreign-keys&gt;&lt;ref-type name="Book"&gt;6&lt;/ref-type&gt;&lt;contributors&gt;&lt;authors&gt;&lt;author&gt;Marilyn B. Skinner&lt;/author&gt;&lt;/authors&gt;&lt;/contributors&gt;&lt;titles&gt;&lt;title&gt;Sexuality in Greek and Roman Culture&lt;/title&gt;&lt;/titles&gt;&lt;dates&gt;&lt;year&gt;2005&lt;/year&gt;&lt;/dates&gt;&lt;pub-location&gt;Oxford, England&lt;/pub-location&gt;&lt;publisher&gt;Blackwell&lt;/publisher&gt;&lt;urls&gt;&lt;/urls&gt;&lt;/record&gt;&lt;/Cite&gt;&lt;/EndNote&gt;</w:instrText>
      </w:r>
      <w:r>
        <w:fldChar w:fldCharType="separate"/>
      </w:r>
      <w:r>
        <w:rPr>
          <w:noProof/>
        </w:rPr>
        <w:t xml:space="preserve">Marilyn B. Skinner, </w:t>
      </w:r>
      <w:r w:rsidRPr="00E4099D">
        <w:rPr>
          <w:i/>
          <w:noProof/>
        </w:rPr>
        <w:t>Sexuality in Greek and Roman Culture</w:t>
      </w:r>
      <w:r>
        <w:rPr>
          <w:noProof/>
        </w:rPr>
        <w:t xml:space="preserve"> (Oxford, England: Blackwell, 2005), 195-7.</w:t>
      </w:r>
      <w:r>
        <w:fldChar w:fldCharType="end"/>
      </w:r>
    </w:p>
  </w:footnote>
  <w:footnote w:id="3">
    <w:p w14:paraId="4D317E1F" w14:textId="77777777" w:rsidR="006D0614" w:rsidRDefault="006D0614" w:rsidP="006D0614">
      <w:pPr>
        <w:pStyle w:val="FootnoteText"/>
      </w:pPr>
      <w:r>
        <w:rPr>
          <w:rStyle w:val="FootnoteReference"/>
        </w:rPr>
        <w:footnoteRef/>
      </w:r>
      <w:r>
        <w:t xml:space="preserve"> </w:t>
      </w:r>
      <w:r>
        <w:fldChar w:fldCharType="begin"/>
      </w:r>
      <w:r>
        <w:instrText xml:space="preserve"> ADDIN EN.CITE &lt;EndNote&gt;&lt;Cite&gt;&lt;Author&gt;Horace&lt;/Author&gt;&lt;Year&gt;2005&lt;/Year&gt;&lt;RecNum&gt;490&lt;/RecNum&gt;&lt;Pages&gt;58&lt;/Pages&gt;&lt;DisplayText&gt;Horace, &lt;style face="italic"&gt;Satires and Epistles&lt;/style&gt;, trans. Niall Rudd (London, England: Penguin, 2005), 58.&lt;/DisplayText&gt;&lt;record&gt;&lt;rec-number&gt;490&lt;/rec-number&gt;&lt;foreign-keys&gt;&lt;key app="EN" db-id="rvzp5afzc2eppgewzt5x0esos0rsevefr9z5" timestamp="1737921137"&gt;490&lt;/key&gt;&lt;/foreign-keys&gt;&lt;ref-type name="Book"&gt;6&lt;/ref-type&gt;&lt;contributors&gt;&lt;authors&gt;&lt;author&gt;Horace&lt;/author&gt;&lt;/authors&gt;&lt;subsidiary-authors&gt;&lt;author&gt;Niall Rudd&lt;/author&gt;&lt;/subsidiary-authors&gt;&lt;/contributors&gt;&lt;titles&gt;&lt;title&gt;Satires and Epistles&lt;/title&gt;&lt;/titles&gt;&lt;dates&gt;&lt;year&gt;2005&lt;/year&gt;&lt;/dates&gt;&lt;pub-location&gt;London, England&lt;/pub-location&gt;&lt;publisher&gt;Penguin&lt;/publisher&gt;&lt;urls&gt;&lt;/urls&gt;&lt;/record&gt;&lt;/Cite&gt;&lt;/EndNote&gt;</w:instrText>
      </w:r>
      <w:r>
        <w:fldChar w:fldCharType="separate"/>
      </w:r>
      <w:r>
        <w:rPr>
          <w:noProof/>
        </w:rPr>
        <w:t xml:space="preserve">Horace, </w:t>
      </w:r>
      <w:r w:rsidRPr="00E047F5">
        <w:rPr>
          <w:i/>
          <w:noProof/>
        </w:rPr>
        <w:t>Satires and Epistles</w:t>
      </w:r>
      <w:r>
        <w:rPr>
          <w:noProof/>
        </w:rPr>
        <w:t>, trans. Niall Rudd (London, England: Penguin, 2005), 58.</w:t>
      </w:r>
      <w:r>
        <w:fldChar w:fldCharType="end"/>
      </w:r>
    </w:p>
  </w:footnote>
  <w:footnote w:id="4">
    <w:p w14:paraId="2387012F" w14:textId="77777777" w:rsidR="00994F17" w:rsidRDefault="00994F17" w:rsidP="00994F17">
      <w:pPr>
        <w:pStyle w:val="FootnoteText"/>
      </w:pPr>
      <w:r>
        <w:rPr>
          <w:rStyle w:val="FootnoteReference"/>
        </w:rPr>
        <w:footnoteRef/>
      </w:r>
      <w:r>
        <w:t xml:space="preserve"> </w:t>
      </w:r>
      <w:r>
        <w:fldChar w:fldCharType="begin"/>
      </w:r>
      <w:r>
        <w:instrText xml:space="preserve"> ADDIN EN.CITE &lt;EndNote&gt;&lt;Cite&gt;&lt;Author&gt;Bauer&lt;/Author&gt;&lt;Year&gt;2000&lt;/Year&gt;&lt;RecNum&gt;195&lt;/RecNum&gt;&lt;DisplayText&gt;Walter Bauer et al., &lt;style face="italic"&gt;A Greek-English Lexicon of the New Testament and Other Early Christian Literature&lt;/style&gt;, 3rd ed. (Chicago: The University of Chicago Press, 2000).&lt;/DisplayText&gt;&lt;record&gt;&lt;rec-number&gt;195&lt;/rec-number&gt;&lt;foreign-keys&gt;&lt;key app="EN" db-id="rvzp5afzc2eppgewzt5x0esos0rsevefr9z5" timestamp="1643399308"&gt;195&lt;/key&gt;&lt;/foreign-keys&gt;&lt;ref-type name="Book"&gt;6&lt;/ref-type&gt;&lt;contributors&gt;&lt;authors&gt;&lt;author&gt;Bauer, Walter, &lt;/author&gt;&lt;author&gt;Danker, Frederick William &lt;/author&gt;&lt;author&gt;Arndt, William F.&lt;/author&gt;&lt;author&gt;Gingrich, F., &lt;/author&gt;&lt;author&gt;Aland, Kurt, &lt;/author&gt;&lt;author&gt;Aland, Barbara, &lt;/author&gt;&lt;author&gt;Reichmann, Viktor&lt;/author&gt;&lt;/authors&gt;&lt;/contributors&gt;&lt;titles&gt;&lt;title&gt;A Greek-English Lexicon of the New Testament and Other Early Christian literature&lt;/title&gt;&lt;short-title&gt;BDAG&lt;/short-title&gt;&lt;/titles&gt;&lt;edition&gt;3rd&lt;/edition&gt;&lt;dates&gt;&lt;year&gt;2000&lt;/year&gt;&lt;/dates&gt;&lt;pub-location&gt;Chicago&lt;/pub-location&gt;&lt;publisher&gt;The University of Chicago Press&lt;/publisher&gt;&lt;isbn&gt;0226039331 9780226039336&lt;/isbn&gt;&lt;urls&gt;&lt;/urls&gt;&lt;remote-database-name&gt;/z-wcorg/&lt;/remote-database-name&gt;&lt;remote-database-provider&gt;http://worldcat.org&lt;/remote-database-provider&gt;&lt;language&gt;English&lt;/language&gt;&lt;/record&gt;&lt;/Cite&gt;&lt;/EndNote&gt;</w:instrText>
      </w:r>
      <w:r>
        <w:fldChar w:fldCharType="separate"/>
      </w:r>
      <w:r>
        <w:rPr>
          <w:noProof/>
        </w:rPr>
        <w:t xml:space="preserve">Walter Bauer et al., </w:t>
      </w:r>
      <w:r w:rsidRPr="00543B29">
        <w:rPr>
          <w:i/>
          <w:noProof/>
        </w:rPr>
        <w:t>A Greek-English Lexicon of the New Testament and Other Early Christian Literature</w:t>
      </w:r>
      <w:r>
        <w:rPr>
          <w:noProof/>
        </w:rPr>
        <w:t>, 3rd ed. (Chicago: The University of Chicago Press, 2000).</w:t>
      </w:r>
      <w:r>
        <w:fldChar w:fldCharType="end"/>
      </w:r>
    </w:p>
  </w:footnote>
  <w:footnote w:id="5">
    <w:p w14:paraId="0EE1EE2A" w14:textId="77777777" w:rsidR="00994F17" w:rsidRDefault="00994F17" w:rsidP="00994F17">
      <w:pPr>
        <w:pStyle w:val="FootnoteText"/>
      </w:pPr>
      <w:r>
        <w:rPr>
          <w:rStyle w:val="FootnoteReference"/>
        </w:rPr>
        <w:footnoteRef/>
      </w:r>
      <w:r>
        <w:t xml:space="preserve"> </w:t>
      </w:r>
      <w:r>
        <w:fldChar w:fldCharType="begin"/>
      </w:r>
      <w:r>
        <w:instrText xml:space="preserve"> ADDIN EN.CITE &lt;EndNote&gt;&lt;Cite&gt;&lt;Author&gt;Juvenal&lt;/Author&gt;&lt;Year&gt;2004&lt;/Year&gt;&lt;RecNum&gt;478&lt;/RecNum&gt;&lt;Pages&gt;36&lt;/Pages&gt;&lt;DisplayText&gt;Juvenal, &lt;style face="italic"&gt;The Sixteen Satires&lt;/style&gt;, trans. Peter Green, 3rd ed. (London, England: Penguin, 2004), 36.&lt;/DisplayText&gt;&lt;record&gt;&lt;rec-number&gt;478&lt;/rec-number&gt;&lt;foreign-keys&gt;&lt;key app="EN" db-id="rvzp5afzc2eppgewzt5x0esos0rsevefr9z5" timestamp="1736445844"&gt;478&lt;/key&gt;&lt;/foreign-keys&gt;&lt;ref-type name="Book"&gt;6&lt;/ref-type&gt;&lt;contributors&gt;&lt;authors&gt;&lt;author&gt;Juvenal&lt;/author&gt;&lt;/authors&gt;&lt;subsidiary-authors&gt;&lt;author&gt;Peter Green&lt;/author&gt;&lt;/subsidiary-authors&gt;&lt;/contributors&gt;&lt;titles&gt;&lt;title&gt;The Sixteen Satires&lt;/title&gt;&lt;/titles&gt;&lt;edition&gt;3rd&lt;/edition&gt;&lt;dates&gt;&lt;year&gt;2004&lt;/year&gt;&lt;/dates&gt;&lt;pub-location&gt;London, England&lt;/pub-location&gt;&lt;publisher&gt;Penguin&lt;/publisher&gt;&lt;urls&gt;&lt;/urls&gt;&lt;/record&gt;&lt;/Cite&gt;&lt;/EndNote&gt;</w:instrText>
      </w:r>
      <w:r>
        <w:fldChar w:fldCharType="separate"/>
      </w:r>
      <w:r>
        <w:rPr>
          <w:noProof/>
        </w:rPr>
        <w:t xml:space="preserve">Juvenal, </w:t>
      </w:r>
      <w:r w:rsidRPr="0067723C">
        <w:rPr>
          <w:i/>
          <w:noProof/>
        </w:rPr>
        <w:t>The Sixteen Satires</w:t>
      </w:r>
      <w:r>
        <w:rPr>
          <w:noProof/>
        </w:rPr>
        <w:t>, trans. Peter Green, 3rd ed. (London, England: Penguin, 2004), 36.</w:t>
      </w:r>
      <w:r>
        <w:fldChar w:fldCharType="end"/>
      </w:r>
    </w:p>
  </w:footnote>
  <w:footnote w:id="6">
    <w:p w14:paraId="135E11FB" w14:textId="77777777" w:rsidR="00994F17" w:rsidRDefault="00994F17" w:rsidP="00994F17">
      <w:pPr>
        <w:pStyle w:val="FootnoteText"/>
      </w:pPr>
      <w:r>
        <w:rPr>
          <w:rStyle w:val="FootnoteReference"/>
        </w:rPr>
        <w:footnoteRef/>
      </w:r>
      <w:r>
        <w:t xml:space="preserve"> </w:t>
      </w:r>
      <w:r>
        <w:fldChar w:fldCharType="begin"/>
      </w:r>
      <w:r>
        <w:instrText xml:space="preserve"> ADDIN EN.CITE &lt;EndNote&gt;&lt;Cite&gt;&lt;Author&gt;Phaedrus&lt;/Author&gt;&lt;Year&gt;1992&lt;/Year&gt;&lt;RecNum&gt;491&lt;/RecNum&gt;&lt;Pages&gt;102&lt;/Pages&gt;&lt;DisplayText&gt;Phaedrus, &lt;style face="italic"&gt;The Fables of Phaedrus&lt;/style&gt;, trans. P. F. Widdows (Austin, TX: Univeristy of Texas Press, 1992), 102.&lt;/DisplayText&gt;&lt;record&gt;&lt;rec-number&gt;491&lt;/rec-number&gt;&lt;foreign-keys&gt;&lt;key app="EN" db-id="rvzp5afzc2eppgewzt5x0esos0rsevefr9z5" timestamp="1737922532"&gt;491&lt;/key&gt;&lt;/foreign-keys&gt;&lt;ref-type name="Book"&gt;6&lt;/ref-type&gt;&lt;contributors&gt;&lt;authors&gt;&lt;author&gt;Phaedrus&lt;/author&gt;&lt;/authors&gt;&lt;subsidiary-authors&gt;&lt;author&gt;P. F. Widdows&lt;/author&gt;&lt;/subsidiary-authors&gt;&lt;/contributors&gt;&lt;titles&gt;&lt;title&gt;The Fables of Phaedrus&lt;/title&gt;&lt;/titles&gt;&lt;dates&gt;&lt;year&gt;1992&lt;/year&gt;&lt;/dates&gt;&lt;pub-location&gt;Austin, TX&lt;/pub-location&gt;&lt;publisher&gt;Univeristy of Texas Press&lt;/publisher&gt;&lt;urls&gt;&lt;/urls&gt;&lt;/record&gt;&lt;/Cite&gt;&lt;/EndNote&gt;</w:instrText>
      </w:r>
      <w:r>
        <w:fldChar w:fldCharType="separate"/>
      </w:r>
      <w:r>
        <w:rPr>
          <w:noProof/>
        </w:rPr>
        <w:t xml:space="preserve">Phaedrus, </w:t>
      </w:r>
      <w:r w:rsidRPr="0081265F">
        <w:rPr>
          <w:i/>
          <w:noProof/>
        </w:rPr>
        <w:t>The Fables of Phaedrus</w:t>
      </w:r>
      <w:r>
        <w:rPr>
          <w:noProof/>
        </w:rPr>
        <w:t>, trans. P. F. Widdows (Austin, TX: Univeristy of Texas Press, 1992), 102.</w:t>
      </w:r>
      <w:r>
        <w:fldChar w:fldCharType="end"/>
      </w:r>
    </w:p>
  </w:footnote>
  <w:footnote w:id="7">
    <w:p w14:paraId="3E67C90B" w14:textId="77777777" w:rsidR="00994F17" w:rsidRDefault="00994F17" w:rsidP="00994F17">
      <w:pPr>
        <w:pStyle w:val="FootnoteText"/>
      </w:pPr>
      <w:r>
        <w:rPr>
          <w:rStyle w:val="FootnoteReference"/>
        </w:rPr>
        <w:footnoteRef/>
      </w:r>
      <w:r>
        <w:t xml:space="preserve"> </w:t>
      </w:r>
      <w:r>
        <w:fldChar w:fldCharType="begin"/>
      </w:r>
      <w:r>
        <w:instrText xml:space="preserve"> ADDIN EN.CITE &lt;EndNote&gt;&lt;Cite&gt;&lt;Author&gt;Juvenal&lt;/Author&gt;&lt;Year&gt;2004&lt;/Year&gt;&lt;RecNum&gt;478&lt;/RecNum&gt;&lt;Pages&gt;65&lt;/Pages&gt;&lt;DisplayText&gt;Juvenal, 65.&lt;/DisplayText&gt;&lt;record&gt;&lt;rec-number&gt;478&lt;/rec-number&gt;&lt;foreign-keys&gt;&lt;key app="EN" db-id="rvzp5afzc2eppgewzt5x0esos0rsevefr9z5" timestamp="1736445844"&gt;478&lt;/key&gt;&lt;/foreign-keys&gt;&lt;ref-type name="Book"&gt;6&lt;/ref-type&gt;&lt;contributors&gt;&lt;authors&gt;&lt;author&gt;Juvenal&lt;/author&gt;&lt;/authors&gt;&lt;subsidiary-authors&gt;&lt;author&gt;Peter Green&lt;/author&gt;&lt;/subsidiary-authors&gt;&lt;/contributors&gt;&lt;titles&gt;&lt;title&gt;The Sixteen Satires&lt;/title&gt;&lt;/titles&gt;&lt;edition&gt;3rd&lt;/edition&gt;&lt;dates&gt;&lt;year&gt;2004&lt;/year&gt;&lt;/dates&gt;&lt;pub-location&gt;London, England&lt;/pub-location&gt;&lt;publisher&gt;Penguin&lt;/publisher&gt;&lt;urls&gt;&lt;/urls&gt;&lt;/record&gt;&lt;/Cite&gt;&lt;/EndNote&gt;</w:instrText>
      </w:r>
      <w:r>
        <w:fldChar w:fldCharType="separate"/>
      </w:r>
      <w:r>
        <w:rPr>
          <w:noProof/>
        </w:rPr>
        <w:t>Juvenal, 65.</w:t>
      </w:r>
      <w:r>
        <w:fldChar w:fldCharType="end"/>
      </w:r>
    </w:p>
  </w:footnote>
  <w:footnote w:id="8">
    <w:p w14:paraId="30AB2B62" w14:textId="77777777" w:rsidR="007C1756" w:rsidRDefault="007C1756" w:rsidP="007C1756">
      <w:pPr>
        <w:pStyle w:val="FootnoteText"/>
      </w:pPr>
      <w:r>
        <w:rPr>
          <w:rStyle w:val="FootnoteReference"/>
        </w:rPr>
        <w:footnoteRef/>
      </w:r>
      <w:r>
        <w:t xml:space="preserve"> </w:t>
      </w:r>
      <w:r>
        <w:fldChar w:fldCharType="begin"/>
      </w:r>
      <w:r>
        <w:instrText xml:space="preserve"> ADDIN EN.CITE &lt;EndNote&gt;&lt;Cite&gt;&lt;Author&gt;Epictetus&lt;/Author&gt;&lt;Year&gt;2022&lt;/Year&gt;&lt;RecNum&gt;462&lt;/RecNum&gt;&lt;Pages&gt;212-6&lt;/Pages&gt;&lt;DisplayText&gt;Epictetus, &lt;style face="italic"&gt;The Complete Works: Handbook, Discourses &amp;amp; Fragments&lt;/style&gt;, trans. Robin Waterfield (Chicago, IL: University of Chicago, 2022), 212-6.&lt;/DisplayText&gt;&lt;record&gt;&lt;rec-number&gt;462&lt;/rec-number&gt;&lt;foreign-keys&gt;&lt;key app="EN" db-id="rvzp5afzc2eppgewzt5x0esos0rsevefr9z5" timestamp="1736260532"&gt;462&lt;/key&gt;&lt;/foreign-keys&gt;&lt;ref-type name="Book"&gt;6&lt;/ref-type&gt;&lt;contributors&gt;&lt;authors&gt;&lt;author&gt;Epictetus&lt;/author&gt;&lt;/authors&gt;&lt;subsidiary-authors&gt;&lt;author&gt;Robin Waterfield&lt;/author&gt;&lt;/subsidiary-authors&gt;&lt;/contributors&gt;&lt;titles&gt;&lt;title&gt;The Complete Works: Handbook, Discourses &amp;amp; Fragments&lt;/title&gt;&lt;/titles&gt;&lt;dates&gt;&lt;year&gt;2022&lt;/year&gt;&lt;/dates&gt;&lt;pub-location&gt;Chicago, IL&lt;/pub-location&gt;&lt;publisher&gt;University of Chicago&lt;/publisher&gt;&lt;urls&gt;&lt;/urls&gt;&lt;/record&gt;&lt;/Cite&gt;&lt;/EndNote&gt;</w:instrText>
      </w:r>
      <w:r>
        <w:fldChar w:fldCharType="separate"/>
      </w:r>
      <w:r>
        <w:rPr>
          <w:noProof/>
        </w:rPr>
        <w:t xml:space="preserve">Epictetus, </w:t>
      </w:r>
      <w:r w:rsidRPr="004947E7">
        <w:rPr>
          <w:i/>
          <w:noProof/>
        </w:rPr>
        <w:t>The Complete Works: Handbook, Discourses &amp; Fragments</w:t>
      </w:r>
      <w:r>
        <w:rPr>
          <w:noProof/>
        </w:rPr>
        <w:t>, trans. Robin Waterfield (Chicago, IL: University of Chicago, 2022), 212-6.</w:t>
      </w:r>
      <w:r>
        <w:fldChar w:fldCharType="end"/>
      </w:r>
    </w:p>
  </w:footnote>
  <w:footnote w:id="9">
    <w:p w14:paraId="31AC0BE5" w14:textId="77777777" w:rsidR="007C1756" w:rsidRDefault="007C1756" w:rsidP="007C1756">
      <w:pPr>
        <w:pStyle w:val="FootnoteText"/>
      </w:pPr>
      <w:r>
        <w:rPr>
          <w:rStyle w:val="FootnoteReference"/>
        </w:rPr>
        <w:footnoteRef/>
      </w:r>
      <w:r>
        <w:t xml:space="preserve"> </w:t>
      </w:r>
      <w:r>
        <w:fldChar w:fldCharType="begin"/>
      </w:r>
      <w:r>
        <w:instrText xml:space="preserve"> ADDIN EN.CITE &lt;EndNote&gt;&lt;Cite&gt;&lt;Author&gt;Skinner&lt;/Author&gt;&lt;Year&gt;2005&lt;/Year&gt;&lt;RecNum&gt;492&lt;/RecNum&gt;&lt;Pages&gt;212&lt;/Pages&gt;&lt;DisplayText&gt;Skinner, 212.&lt;/DisplayText&gt;&lt;record&gt;&lt;rec-number&gt;492&lt;/rec-number&gt;&lt;foreign-keys&gt;&lt;key app="EN" db-id="rvzp5afzc2eppgewzt5x0esos0rsevefr9z5" timestamp="1737925800"&gt;492&lt;/key&gt;&lt;/foreign-keys&gt;&lt;ref-type name="Book"&gt;6&lt;/ref-type&gt;&lt;contributors&gt;&lt;authors&gt;&lt;author&gt;Marilyn B. Skinner&lt;/author&gt;&lt;/authors&gt;&lt;/contributors&gt;&lt;titles&gt;&lt;title&gt;Sexuality in Greek and Roman Culture&lt;/title&gt;&lt;/titles&gt;&lt;dates&gt;&lt;year&gt;2005&lt;/year&gt;&lt;/dates&gt;&lt;pub-location&gt;Oxford, England&lt;/pub-location&gt;&lt;publisher&gt;Blackwell&lt;/publisher&gt;&lt;urls&gt;&lt;/urls&gt;&lt;/record&gt;&lt;/Cite&gt;&lt;/EndNote&gt;</w:instrText>
      </w:r>
      <w:r>
        <w:fldChar w:fldCharType="separate"/>
      </w:r>
      <w:r>
        <w:rPr>
          <w:noProof/>
        </w:rPr>
        <w:t>Skinner, 212.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148"/>
    <w:multiLevelType w:val="multilevel"/>
    <w:tmpl w:val="99782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21E4"/>
    <w:multiLevelType w:val="hybridMultilevel"/>
    <w:tmpl w:val="C2581CB4"/>
    <w:lvl w:ilvl="0" w:tplc="221009B4">
      <w:start w:val="6"/>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D42"/>
    <w:multiLevelType w:val="hybridMultilevel"/>
    <w:tmpl w:val="F6060C82"/>
    <w:lvl w:ilvl="0" w:tplc="0DEEB750">
      <w:start w:val="6"/>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374F"/>
    <w:multiLevelType w:val="multilevel"/>
    <w:tmpl w:val="F75E9B10"/>
    <w:lvl w:ilvl="0">
      <w:start w:val="1"/>
      <w:numFmt w:val="bullet"/>
      <w:lvlText w:val="­"/>
      <w:lvlJc w:val="left"/>
      <w:pPr>
        <w:tabs>
          <w:tab w:val="num" w:pos="720"/>
        </w:tabs>
        <w:ind w:left="720" w:hanging="360"/>
      </w:pPr>
      <w:rPr>
        <w:rFonts w:ascii="Palatino Linotype" w:hAnsi="Palatino Linotype"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739FA"/>
    <w:multiLevelType w:val="hybridMultilevel"/>
    <w:tmpl w:val="C7326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F97263"/>
    <w:multiLevelType w:val="hybridMultilevel"/>
    <w:tmpl w:val="239A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7639F"/>
    <w:multiLevelType w:val="hybridMultilevel"/>
    <w:tmpl w:val="B84C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61996"/>
    <w:multiLevelType w:val="hybridMultilevel"/>
    <w:tmpl w:val="616A8B3A"/>
    <w:lvl w:ilvl="0" w:tplc="E89AECE2">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F142B"/>
    <w:multiLevelType w:val="hybridMultilevel"/>
    <w:tmpl w:val="B5EE06DC"/>
    <w:lvl w:ilvl="0" w:tplc="EB48A678">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16E2"/>
    <w:multiLevelType w:val="hybridMultilevel"/>
    <w:tmpl w:val="81FE5DC8"/>
    <w:lvl w:ilvl="0" w:tplc="A0D81232">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B03E7"/>
    <w:multiLevelType w:val="hybridMultilevel"/>
    <w:tmpl w:val="06EE43F4"/>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A7F49"/>
    <w:multiLevelType w:val="hybridMultilevel"/>
    <w:tmpl w:val="A1A00D5C"/>
    <w:lvl w:ilvl="0" w:tplc="1298D584">
      <w:start w:val="1"/>
      <w:numFmt w:val="bullet"/>
      <w:lvlText w:val="-"/>
      <w:lvlJc w:val="left"/>
      <w:pPr>
        <w:ind w:left="360" w:hanging="360"/>
      </w:pPr>
      <w:rPr>
        <w:rFonts w:ascii="Palatino Linotype" w:eastAsiaTheme="minorHAnsi" w:hAnsi="Palatino Linotype"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06073E"/>
    <w:multiLevelType w:val="hybridMultilevel"/>
    <w:tmpl w:val="1D5E2708"/>
    <w:lvl w:ilvl="0" w:tplc="6042302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363D9"/>
    <w:multiLevelType w:val="hybridMultilevel"/>
    <w:tmpl w:val="791A6C8E"/>
    <w:lvl w:ilvl="0" w:tplc="B7967522">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465232">
    <w:abstractNumId w:val="12"/>
  </w:num>
  <w:num w:numId="2" w16cid:durableId="366024332">
    <w:abstractNumId w:val="5"/>
  </w:num>
  <w:num w:numId="3" w16cid:durableId="201672750">
    <w:abstractNumId w:val="6"/>
  </w:num>
  <w:num w:numId="4" w16cid:durableId="1341548737">
    <w:abstractNumId w:val="8"/>
  </w:num>
  <w:num w:numId="5" w16cid:durableId="400837258">
    <w:abstractNumId w:val="0"/>
  </w:num>
  <w:num w:numId="6" w16cid:durableId="179661367">
    <w:abstractNumId w:val="3"/>
  </w:num>
  <w:num w:numId="7" w16cid:durableId="805782467">
    <w:abstractNumId w:val="10"/>
  </w:num>
  <w:num w:numId="8" w16cid:durableId="1534733433">
    <w:abstractNumId w:val="4"/>
  </w:num>
  <w:num w:numId="9" w16cid:durableId="144443935">
    <w:abstractNumId w:val="13"/>
  </w:num>
  <w:num w:numId="10" w16cid:durableId="824399637">
    <w:abstractNumId w:val="11"/>
  </w:num>
  <w:num w:numId="11" w16cid:durableId="209727360">
    <w:abstractNumId w:val="7"/>
  </w:num>
  <w:num w:numId="12" w16cid:durableId="558053845">
    <w:abstractNumId w:val="9"/>
  </w:num>
  <w:num w:numId="13" w16cid:durableId="2128231868">
    <w:abstractNumId w:val="1"/>
  </w:num>
  <w:num w:numId="14" w16cid:durableId="30481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zp5afzc2eppgewzt5x0esos0rsevefr9z5&quot;&gt;LHIMLibrary&amp;apos;22&lt;record-ids&gt;&lt;item&gt;195&lt;/item&gt;&lt;item&gt;462&lt;/item&gt;&lt;item&gt;478&lt;/item&gt;&lt;item&gt;488&lt;/item&gt;&lt;item&gt;490&lt;/item&gt;&lt;item&gt;491&lt;/item&gt;&lt;item&gt;492&lt;/item&gt;&lt;/record-ids&gt;&lt;/item&gt;&lt;/Libraries&gt;"/>
  </w:docVars>
  <w:rsids>
    <w:rsidRoot w:val="005948AF"/>
    <w:rsid w:val="00024F78"/>
    <w:rsid w:val="000555E7"/>
    <w:rsid w:val="000717FC"/>
    <w:rsid w:val="00076790"/>
    <w:rsid w:val="00077960"/>
    <w:rsid w:val="00081649"/>
    <w:rsid w:val="00093857"/>
    <w:rsid w:val="000B792F"/>
    <w:rsid w:val="000C3E88"/>
    <w:rsid w:val="000C4F19"/>
    <w:rsid w:val="000D0842"/>
    <w:rsid w:val="000E4D4D"/>
    <w:rsid w:val="001007E6"/>
    <w:rsid w:val="001178E9"/>
    <w:rsid w:val="00133077"/>
    <w:rsid w:val="001417AE"/>
    <w:rsid w:val="00143587"/>
    <w:rsid w:val="001539AE"/>
    <w:rsid w:val="001778A8"/>
    <w:rsid w:val="001A2187"/>
    <w:rsid w:val="001F1BB6"/>
    <w:rsid w:val="00223234"/>
    <w:rsid w:val="0022440F"/>
    <w:rsid w:val="00230346"/>
    <w:rsid w:val="002336D3"/>
    <w:rsid w:val="0026169B"/>
    <w:rsid w:val="00274138"/>
    <w:rsid w:val="00276715"/>
    <w:rsid w:val="0029557B"/>
    <w:rsid w:val="002A5342"/>
    <w:rsid w:val="002B1DC7"/>
    <w:rsid w:val="002B3C9B"/>
    <w:rsid w:val="002C45F1"/>
    <w:rsid w:val="002D089A"/>
    <w:rsid w:val="00303EB7"/>
    <w:rsid w:val="00304D66"/>
    <w:rsid w:val="00311B92"/>
    <w:rsid w:val="0031259A"/>
    <w:rsid w:val="003418BA"/>
    <w:rsid w:val="0035207E"/>
    <w:rsid w:val="0036010C"/>
    <w:rsid w:val="00380DC6"/>
    <w:rsid w:val="00411056"/>
    <w:rsid w:val="00411417"/>
    <w:rsid w:val="004441C3"/>
    <w:rsid w:val="0045102B"/>
    <w:rsid w:val="005057C5"/>
    <w:rsid w:val="005506C3"/>
    <w:rsid w:val="00570AAB"/>
    <w:rsid w:val="00585051"/>
    <w:rsid w:val="005948AF"/>
    <w:rsid w:val="005971F1"/>
    <w:rsid w:val="005B1AD9"/>
    <w:rsid w:val="005B4E4A"/>
    <w:rsid w:val="005B6916"/>
    <w:rsid w:val="005C5F8A"/>
    <w:rsid w:val="005C71F5"/>
    <w:rsid w:val="005F4B0C"/>
    <w:rsid w:val="00610CC6"/>
    <w:rsid w:val="006152BC"/>
    <w:rsid w:val="00621241"/>
    <w:rsid w:val="0066253D"/>
    <w:rsid w:val="006930AF"/>
    <w:rsid w:val="006A12FE"/>
    <w:rsid w:val="006D0614"/>
    <w:rsid w:val="006E7792"/>
    <w:rsid w:val="006F112C"/>
    <w:rsid w:val="00714EAF"/>
    <w:rsid w:val="00723B6A"/>
    <w:rsid w:val="00726F52"/>
    <w:rsid w:val="00734F42"/>
    <w:rsid w:val="00757AF8"/>
    <w:rsid w:val="00760169"/>
    <w:rsid w:val="00794EB2"/>
    <w:rsid w:val="007A2153"/>
    <w:rsid w:val="007A2218"/>
    <w:rsid w:val="007A454F"/>
    <w:rsid w:val="007A6D69"/>
    <w:rsid w:val="007B21F6"/>
    <w:rsid w:val="007B5ABD"/>
    <w:rsid w:val="007B76F5"/>
    <w:rsid w:val="007C1756"/>
    <w:rsid w:val="007C47CF"/>
    <w:rsid w:val="007C5773"/>
    <w:rsid w:val="007D3894"/>
    <w:rsid w:val="007D7CCC"/>
    <w:rsid w:val="007E20AD"/>
    <w:rsid w:val="00827219"/>
    <w:rsid w:val="00841516"/>
    <w:rsid w:val="00843644"/>
    <w:rsid w:val="008627BA"/>
    <w:rsid w:val="00893CAF"/>
    <w:rsid w:val="008B4106"/>
    <w:rsid w:val="008F5876"/>
    <w:rsid w:val="008F638D"/>
    <w:rsid w:val="009045C6"/>
    <w:rsid w:val="009242F1"/>
    <w:rsid w:val="00994F17"/>
    <w:rsid w:val="009A6AB9"/>
    <w:rsid w:val="009A74B8"/>
    <w:rsid w:val="009B16BE"/>
    <w:rsid w:val="009C3FBA"/>
    <w:rsid w:val="009C75FF"/>
    <w:rsid w:val="009F2B13"/>
    <w:rsid w:val="00A02F2F"/>
    <w:rsid w:val="00A11E54"/>
    <w:rsid w:val="00A446BA"/>
    <w:rsid w:val="00A64EAB"/>
    <w:rsid w:val="00A81683"/>
    <w:rsid w:val="00A82C34"/>
    <w:rsid w:val="00AF5CE2"/>
    <w:rsid w:val="00B058E2"/>
    <w:rsid w:val="00B3648F"/>
    <w:rsid w:val="00B46597"/>
    <w:rsid w:val="00B7794E"/>
    <w:rsid w:val="00B82A81"/>
    <w:rsid w:val="00B86E06"/>
    <w:rsid w:val="00B9288F"/>
    <w:rsid w:val="00BA1F76"/>
    <w:rsid w:val="00BE596E"/>
    <w:rsid w:val="00BF618C"/>
    <w:rsid w:val="00C019AB"/>
    <w:rsid w:val="00C23122"/>
    <w:rsid w:val="00C24BA6"/>
    <w:rsid w:val="00C36BCF"/>
    <w:rsid w:val="00C81077"/>
    <w:rsid w:val="00C819C6"/>
    <w:rsid w:val="00C90151"/>
    <w:rsid w:val="00CC6B92"/>
    <w:rsid w:val="00CD61F0"/>
    <w:rsid w:val="00D025E6"/>
    <w:rsid w:val="00D35E6B"/>
    <w:rsid w:val="00DB036D"/>
    <w:rsid w:val="00DB4C30"/>
    <w:rsid w:val="00DE3F16"/>
    <w:rsid w:val="00E01FD4"/>
    <w:rsid w:val="00E2465F"/>
    <w:rsid w:val="00E821DD"/>
    <w:rsid w:val="00EB317F"/>
    <w:rsid w:val="00ED2342"/>
    <w:rsid w:val="00ED513E"/>
    <w:rsid w:val="00ED70B4"/>
    <w:rsid w:val="00F1295E"/>
    <w:rsid w:val="00F43EC1"/>
    <w:rsid w:val="00F4620D"/>
    <w:rsid w:val="00F6382B"/>
    <w:rsid w:val="00F63CF2"/>
    <w:rsid w:val="00F74134"/>
    <w:rsid w:val="00F74448"/>
    <w:rsid w:val="00FA57F8"/>
    <w:rsid w:val="00FC777F"/>
    <w:rsid w:val="00FF4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9655"/>
  <w15:chartTrackingRefBased/>
  <w15:docId w15:val="{19057986-178A-48CF-89DB-E62011FC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F"/>
  </w:style>
  <w:style w:type="paragraph" w:styleId="Footer">
    <w:name w:val="footer"/>
    <w:basedOn w:val="Normal"/>
    <w:link w:val="FooterChar"/>
    <w:uiPriority w:val="99"/>
    <w:unhideWhenUsed/>
    <w:rsid w:val="00693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F"/>
  </w:style>
  <w:style w:type="paragraph" w:styleId="ListParagraph">
    <w:name w:val="List Paragraph"/>
    <w:basedOn w:val="Normal"/>
    <w:uiPriority w:val="34"/>
    <w:qFormat/>
    <w:rsid w:val="005948AF"/>
    <w:pPr>
      <w:ind w:left="720"/>
      <w:contextualSpacing/>
    </w:pPr>
  </w:style>
  <w:style w:type="paragraph" w:styleId="FootnoteText">
    <w:name w:val="footnote text"/>
    <w:basedOn w:val="Normal"/>
    <w:link w:val="FootnoteTextChar"/>
    <w:uiPriority w:val="99"/>
    <w:semiHidden/>
    <w:unhideWhenUsed/>
    <w:rsid w:val="00594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8AF"/>
    <w:rPr>
      <w:sz w:val="20"/>
      <w:szCs w:val="20"/>
    </w:rPr>
  </w:style>
  <w:style w:type="character" w:styleId="FootnoteReference">
    <w:name w:val="footnote reference"/>
    <w:basedOn w:val="DefaultParagraphFont"/>
    <w:uiPriority w:val="99"/>
    <w:semiHidden/>
    <w:unhideWhenUsed/>
    <w:rsid w:val="005948AF"/>
    <w:rPr>
      <w:vertAlign w:val="superscript"/>
    </w:rPr>
  </w:style>
  <w:style w:type="character" w:styleId="Hyperlink">
    <w:name w:val="Hyperlink"/>
    <w:basedOn w:val="DefaultParagraphFont"/>
    <w:uiPriority w:val="99"/>
    <w:unhideWhenUsed/>
    <w:rsid w:val="005948AF"/>
    <w:rPr>
      <w:color w:val="0563C1" w:themeColor="hyperlink"/>
      <w:u w:val="single"/>
    </w:rPr>
  </w:style>
  <w:style w:type="paragraph" w:customStyle="1" w:styleId="EndNoteBibliographyTitle">
    <w:name w:val="EndNote Bibliography Title"/>
    <w:basedOn w:val="Normal"/>
    <w:link w:val="EndNoteBibliographyTitleChar"/>
    <w:rsid w:val="00CD61F0"/>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CD61F0"/>
    <w:rPr>
      <w:rFonts w:ascii="Calibri" w:hAnsi="Calibri" w:cs="Calibri"/>
      <w:noProof/>
      <w:sz w:val="20"/>
      <w:szCs w:val="20"/>
    </w:rPr>
  </w:style>
  <w:style w:type="paragraph" w:customStyle="1" w:styleId="EndNoteBibliography">
    <w:name w:val="EndNote Bibliography"/>
    <w:basedOn w:val="Normal"/>
    <w:link w:val="EndNoteBibliographyChar"/>
    <w:rsid w:val="00CD61F0"/>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rsid w:val="00CD61F0"/>
    <w:rPr>
      <w:rFonts w:ascii="Calibri" w:hAnsi="Calibri" w:cs="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4811">
      <w:bodyDiv w:val="1"/>
      <w:marLeft w:val="0"/>
      <w:marRight w:val="0"/>
      <w:marTop w:val="0"/>
      <w:marBottom w:val="0"/>
      <w:divBdr>
        <w:top w:val="none" w:sz="0" w:space="0" w:color="auto"/>
        <w:left w:val="none" w:sz="0" w:space="0" w:color="auto"/>
        <w:bottom w:val="none" w:sz="0" w:space="0" w:color="auto"/>
        <w:right w:val="none" w:sz="0" w:space="0" w:color="auto"/>
      </w:divBdr>
    </w:div>
    <w:div w:id="660305846">
      <w:bodyDiv w:val="1"/>
      <w:marLeft w:val="0"/>
      <w:marRight w:val="0"/>
      <w:marTop w:val="0"/>
      <w:marBottom w:val="0"/>
      <w:divBdr>
        <w:top w:val="none" w:sz="0" w:space="0" w:color="auto"/>
        <w:left w:val="none" w:sz="0" w:space="0" w:color="auto"/>
        <w:bottom w:val="none" w:sz="0" w:space="0" w:color="auto"/>
        <w:right w:val="none" w:sz="0" w:space="0" w:color="auto"/>
      </w:divBdr>
    </w:div>
    <w:div w:id="16722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Finnegan</dc:creator>
  <cp:keywords/>
  <dc:description/>
  <cp:lastModifiedBy>Mimi Finnegan</cp:lastModifiedBy>
  <cp:revision>2</cp:revision>
  <dcterms:created xsi:type="dcterms:W3CDTF">2025-01-28T18:28:00Z</dcterms:created>
  <dcterms:modified xsi:type="dcterms:W3CDTF">2025-01-28T18:28:00Z</dcterms:modified>
</cp:coreProperties>
</file>