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5B411" w14:textId="07AF64A6" w:rsidR="005948AF" w:rsidRPr="005948AF" w:rsidRDefault="00F562D5" w:rsidP="005A5619">
      <w:pPr>
        <w:contextualSpacing/>
        <w:rPr>
          <w:rFonts w:ascii="Palatino Linotype" w:hAnsi="Palatino Linotype"/>
          <w:b/>
          <w:bCs/>
          <w:sz w:val="40"/>
          <w:szCs w:val="40"/>
        </w:rPr>
      </w:pPr>
      <w:r>
        <w:rPr>
          <w:rFonts w:ascii="Palatino Linotype" w:hAnsi="Palatino Linotype"/>
          <w:b/>
          <w:bCs/>
          <w:sz w:val="40"/>
          <w:szCs w:val="40"/>
        </w:rPr>
        <w:t>8</w:t>
      </w:r>
      <w:r w:rsidR="00230346">
        <w:rPr>
          <w:rFonts w:ascii="Palatino Linotype" w:hAnsi="Palatino Linotype"/>
          <w:b/>
          <w:bCs/>
          <w:sz w:val="40"/>
          <w:szCs w:val="40"/>
        </w:rPr>
        <w:t xml:space="preserve"> </w:t>
      </w:r>
      <w:r w:rsidR="00666AB5">
        <w:rPr>
          <w:rFonts w:ascii="Palatino Linotype" w:hAnsi="Palatino Linotype"/>
          <w:b/>
          <w:bCs/>
          <w:sz w:val="40"/>
          <w:szCs w:val="40"/>
        </w:rPr>
        <w:t xml:space="preserve">Marriage, </w:t>
      </w:r>
      <w:r>
        <w:rPr>
          <w:rFonts w:ascii="Palatino Linotype" w:hAnsi="Palatino Linotype"/>
          <w:b/>
          <w:bCs/>
          <w:sz w:val="40"/>
          <w:szCs w:val="40"/>
        </w:rPr>
        <w:t>Divorce</w:t>
      </w:r>
      <w:r w:rsidR="00666AB5">
        <w:rPr>
          <w:rFonts w:ascii="Palatino Linotype" w:hAnsi="Palatino Linotype"/>
          <w:b/>
          <w:bCs/>
          <w:sz w:val="40"/>
          <w:szCs w:val="40"/>
        </w:rPr>
        <w:t xml:space="preserve">, </w:t>
      </w:r>
      <w:r w:rsidR="00D11376">
        <w:rPr>
          <w:rFonts w:ascii="Palatino Linotype" w:hAnsi="Palatino Linotype"/>
          <w:b/>
          <w:bCs/>
          <w:sz w:val="40"/>
          <w:szCs w:val="40"/>
        </w:rPr>
        <w:t xml:space="preserve">and </w:t>
      </w:r>
      <w:r>
        <w:rPr>
          <w:rFonts w:ascii="Palatino Linotype" w:hAnsi="Palatino Linotype"/>
          <w:b/>
          <w:bCs/>
          <w:sz w:val="40"/>
          <w:szCs w:val="40"/>
        </w:rPr>
        <w:t xml:space="preserve">Remarriage </w:t>
      </w:r>
    </w:p>
    <w:p w14:paraId="42AC9AF2" w14:textId="140DD2AD" w:rsidR="005948AF" w:rsidRPr="005F77F8" w:rsidRDefault="007B76F5" w:rsidP="005A5619">
      <w:pPr>
        <w:contextualSpacing/>
        <w:rPr>
          <w:rFonts w:ascii="Palatino Linotype" w:hAnsi="Palatino Linotype"/>
          <w:sz w:val="24"/>
          <w:szCs w:val="24"/>
        </w:rPr>
      </w:pPr>
      <w:r w:rsidRPr="005F77F8">
        <w:rPr>
          <w:rFonts w:ascii="Palatino Linotype" w:hAnsi="Palatino Linotype"/>
          <w:sz w:val="24"/>
          <w:szCs w:val="24"/>
        </w:rPr>
        <w:t xml:space="preserve">1 Corinthians </w:t>
      </w:r>
      <w:r w:rsidR="00F562D5">
        <w:rPr>
          <w:rFonts w:ascii="Palatino Linotype" w:hAnsi="Palatino Linotype"/>
          <w:sz w:val="24"/>
          <w:szCs w:val="24"/>
        </w:rPr>
        <w:t>7:1-16</w:t>
      </w:r>
    </w:p>
    <w:p w14:paraId="4234289A" w14:textId="77777777" w:rsidR="007B76F5" w:rsidRPr="005F77F8" w:rsidRDefault="007B76F5" w:rsidP="005A5619">
      <w:pPr>
        <w:contextualSpacing/>
        <w:rPr>
          <w:rFonts w:ascii="Palatino Linotype" w:hAnsi="Palatino Linotype"/>
          <w:sz w:val="24"/>
          <w:szCs w:val="24"/>
        </w:rPr>
      </w:pPr>
    </w:p>
    <w:p w14:paraId="09989474" w14:textId="73AE4821" w:rsidR="000638FE" w:rsidRDefault="00F562D5" w:rsidP="005A5619">
      <w:pPr>
        <w:contextualSpacing/>
        <w:rPr>
          <w:rFonts w:ascii="Palatino Linotype" w:hAnsi="Palatino Linotype"/>
          <w:sz w:val="24"/>
          <w:szCs w:val="24"/>
        </w:rPr>
      </w:pPr>
      <w:r>
        <w:rPr>
          <w:rFonts w:ascii="Palatino Linotype" w:hAnsi="Palatino Linotype"/>
          <w:sz w:val="24"/>
          <w:szCs w:val="24"/>
        </w:rPr>
        <w:t>1 Corinthians 7:1-2</w:t>
      </w:r>
    </w:p>
    <w:p w14:paraId="4EB4FBE1" w14:textId="6B770CE8" w:rsidR="00F562D5" w:rsidRDefault="00F562D5" w:rsidP="005A5619">
      <w:pPr>
        <w:pStyle w:val="ListParagraph"/>
        <w:numPr>
          <w:ilvl w:val="0"/>
          <w:numId w:val="17"/>
        </w:numPr>
        <w:rPr>
          <w:rFonts w:ascii="Palatino Linotype" w:hAnsi="Palatino Linotype"/>
          <w:sz w:val="24"/>
          <w:szCs w:val="24"/>
        </w:rPr>
      </w:pPr>
      <w:r>
        <w:rPr>
          <w:rFonts w:ascii="Palatino Linotype" w:hAnsi="Palatino Linotype"/>
          <w:sz w:val="24"/>
          <w:szCs w:val="24"/>
        </w:rPr>
        <w:t xml:space="preserve">v1 </w:t>
      </w:r>
      <w:r w:rsidR="004613E7">
        <w:rPr>
          <w:rFonts w:ascii="Palatino Linotype" w:hAnsi="Palatino Linotype"/>
          <w:sz w:val="24"/>
          <w:szCs w:val="24"/>
        </w:rPr>
        <w:t xml:space="preserve">  </w:t>
      </w:r>
      <w:r>
        <w:rPr>
          <w:rFonts w:ascii="Palatino Linotype" w:hAnsi="Palatino Linotype"/>
          <w:sz w:val="24"/>
          <w:szCs w:val="24"/>
        </w:rPr>
        <w:t>Paul had received a letter from the Corinthians. From 1 Cor 16:17</w:t>
      </w:r>
      <w:r w:rsidR="004613E7">
        <w:rPr>
          <w:rFonts w:ascii="Palatino Linotype" w:hAnsi="Palatino Linotype"/>
          <w:sz w:val="24"/>
          <w:szCs w:val="24"/>
        </w:rPr>
        <w:t>,</w:t>
      </w:r>
      <w:r>
        <w:rPr>
          <w:rFonts w:ascii="Palatino Linotype" w:hAnsi="Palatino Linotype"/>
          <w:sz w:val="24"/>
          <w:szCs w:val="24"/>
        </w:rPr>
        <w:t xml:space="preserve"> we learn the letter carriers were Stephanas, Fortunatus, and </w:t>
      </w:r>
      <w:proofErr w:type="spellStart"/>
      <w:r>
        <w:rPr>
          <w:rFonts w:ascii="Palatino Linotype" w:hAnsi="Palatino Linotype"/>
          <w:sz w:val="24"/>
          <w:szCs w:val="24"/>
        </w:rPr>
        <w:t>Achiacus</w:t>
      </w:r>
      <w:proofErr w:type="spellEnd"/>
      <w:r>
        <w:rPr>
          <w:rFonts w:ascii="Palatino Linotype" w:hAnsi="Palatino Linotype"/>
          <w:sz w:val="24"/>
          <w:szCs w:val="24"/>
        </w:rPr>
        <w:t>.</w:t>
      </w:r>
    </w:p>
    <w:p w14:paraId="104081BF" w14:textId="51372102" w:rsidR="00ED3514" w:rsidRDefault="00ED3514" w:rsidP="005A5619">
      <w:pPr>
        <w:pStyle w:val="ListParagraph"/>
        <w:numPr>
          <w:ilvl w:val="0"/>
          <w:numId w:val="17"/>
        </w:numPr>
        <w:rPr>
          <w:rFonts w:ascii="Palatino Linotype" w:hAnsi="Palatino Linotype"/>
          <w:sz w:val="24"/>
          <w:szCs w:val="24"/>
        </w:rPr>
      </w:pPr>
      <w:r>
        <w:rPr>
          <w:rFonts w:ascii="Palatino Linotype" w:hAnsi="Palatino Linotype"/>
          <w:sz w:val="24"/>
          <w:szCs w:val="24"/>
        </w:rPr>
        <w:t>Paul responded to their specific inquiries in 7:1, 25; 8:1; 12:1; and 16:1</w:t>
      </w:r>
      <w:r w:rsidR="004613E7">
        <w:rPr>
          <w:rFonts w:ascii="Palatino Linotype" w:hAnsi="Palatino Linotype"/>
          <w:sz w:val="24"/>
          <w:szCs w:val="24"/>
        </w:rPr>
        <w:t>.</w:t>
      </w:r>
    </w:p>
    <w:p w14:paraId="1B89AA45" w14:textId="4AFA25F7" w:rsidR="006402E9" w:rsidRPr="00F562D5" w:rsidRDefault="006402E9" w:rsidP="005A5619">
      <w:pPr>
        <w:pStyle w:val="ListParagraph"/>
        <w:numPr>
          <w:ilvl w:val="0"/>
          <w:numId w:val="17"/>
        </w:numPr>
        <w:rPr>
          <w:rFonts w:ascii="Palatino Linotype" w:hAnsi="Palatino Linotype"/>
          <w:sz w:val="24"/>
          <w:szCs w:val="24"/>
        </w:rPr>
      </w:pPr>
      <w:r>
        <w:rPr>
          <w:rFonts w:ascii="Palatino Linotype" w:hAnsi="Palatino Linotype"/>
          <w:sz w:val="24"/>
          <w:szCs w:val="24"/>
        </w:rPr>
        <w:t>Their question (or statement) here was</w:t>
      </w:r>
      <w:r w:rsidR="004613E7">
        <w:rPr>
          <w:rFonts w:ascii="Palatino Linotype" w:hAnsi="Palatino Linotype"/>
          <w:sz w:val="24"/>
          <w:szCs w:val="24"/>
        </w:rPr>
        <w:t>,</w:t>
      </w:r>
      <w:r>
        <w:rPr>
          <w:rFonts w:ascii="Palatino Linotype" w:hAnsi="Palatino Linotype"/>
          <w:sz w:val="24"/>
          <w:szCs w:val="24"/>
        </w:rPr>
        <w:t xml:space="preserve"> “It is good for a man not to touch a woman.” Paul responds to this throughout the chapter</w:t>
      </w:r>
      <w:r w:rsidR="00B650CB">
        <w:rPr>
          <w:rFonts w:ascii="Palatino Linotype" w:hAnsi="Palatino Linotype"/>
          <w:sz w:val="24"/>
          <w:szCs w:val="24"/>
        </w:rPr>
        <w:t>.</w:t>
      </w:r>
    </w:p>
    <w:p w14:paraId="711FE8D8" w14:textId="77777777" w:rsidR="00B17D70" w:rsidRDefault="00B17D70" w:rsidP="005A5619">
      <w:pPr>
        <w:contextualSpacing/>
        <w:rPr>
          <w:rFonts w:ascii="Palatino Linotype" w:hAnsi="Palatino Linotype"/>
          <w:sz w:val="24"/>
          <w:szCs w:val="24"/>
        </w:rPr>
      </w:pPr>
      <w:r w:rsidRPr="00B17D70">
        <w:rPr>
          <w:rFonts w:ascii="Palatino Linotype" w:hAnsi="Palatino Linotype"/>
          <w:sz w:val="24"/>
          <w:szCs w:val="24"/>
        </w:rPr>
        <w:t xml:space="preserve">Asceticism </w:t>
      </w:r>
    </w:p>
    <w:p w14:paraId="066EA003" w14:textId="7654779C" w:rsidR="00B17D70" w:rsidRDefault="00B17D70" w:rsidP="005A5619">
      <w:pPr>
        <w:pStyle w:val="ListParagraph"/>
        <w:numPr>
          <w:ilvl w:val="0"/>
          <w:numId w:val="17"/>
        </w:numPr>
        <w:rPr>
          <w:rFonts w:ascii="Palatino Linotype" w:hAnsi="Palatino Linotype"/>
          <w:sz w:val="24"/>
          <w:szCs w:val="24"/>
        </w:rPr>
      </w:pPr>
      <w:r>
        <w:rPr>
          <w:rFonts w:ascii="Palatino Linotype" w:hAnsi="Palatino Linotype"/>
          <w:sz w:val="24"/>
          <w:szCs w:val="24"/>
        </w:rPr>
        <w:t>Cynics discouraged any marriage or having children.</w:t>
      </w:r>
    </w:p>
    <w:p w14:paraId="6902E704" w14:textId="0778C33A" w:rsidR="00B17D70" w:rsidRDefault="00B17D70" w:rsidP="005A5619">
      <w:pPr>
        <w:pStyle w:val="ListParagraph"/>
        <w:numPr>
          <w:ilvl w:val="0"/>
          <w:numId w:val="17"/>
        </w:numPr>
        <w:rPr>
          <w:rFonts w:ascii="Palatino Linotype" w:hAnsi="Palatino Linotype"/>
          <w:sz w:val="24"/>
          <w:szCs w:val="24"/>
        </w:rPr>
      </w:pPr>
      <w:r>
        <w:rPr>
          <w:rFonts w:ascii="Palatino Linotype" w:hAnsi="Palatino Linotype"/>
          <w:sz w:val="24"/>
          <w:szCs w:val="24"/>
        </w:rPr>
        <w:t xml:space="preserve">Stoics encouraged </w:t>
      </w:r>
      <w:r w:rsidR="004613E7">
        <w:rPr>
          <w:rFonts w:ascii="Palatino Linotype" w:hAnsi="Palatino Linotype"/>
          <w:sz w:val="24"/>
          <w:szCs w:val="24"/>
        </w:rPr>
        <w:t>marriage but</w:t>
      </w:r>
      <w:r>
        <w:rPr>
          <w:rFonts w:ascii="Palatino Linotype" w:hAnsi="Palatino Linotype"/>
          <w:sz w:val="24"/>
          <w:szCs w:val="24"/>
        </w:rPr>
        <w:t xml:space="preserve"> discouraged sex beyond procreation.</w:t>
      </w:r>
    </w:p>
    <w:p w14:paraId="10D4EFC3" w14:textId="45BAF677" w:rsidR="00B17D70" w:rsidRDefault="00B17D70" w:rsidP="005A5619">
      <w:pPr>
        <w:pStyle w:val="ListParagraph"/>
        <w:numPr>
          <w:ilvl w:val="0"/>
          <w:numId w:val="17"/>
        </w:numPr>
        <w:rPr>
          <w:rFonts w:ascii="Palatino Linotype" w:hAnsi="Palatino Linotype"/>
          <w:sz w:val="24"/>
          <w:szCs w:val="24"/>
        </w:rPr>
      </w:pPr>
      <w:r w:rsidRPr="00B17D70">
        <w:rPr>
          <w:rFonts w:ascii="Palatino Linotype" w:hAnsi="Palatino Linotype"/>
          <w:sz w:val="24"/>
          <w:szCs w:val="24"/>
        </w:rPr>
        <w:t>Musonius Rufus</w:t>
      </w:r>
      <w:r>
        <w:rPr>
          <w:rFonts w:ascii="Palatino Linotype" w:hAnsi="Palatino Linotype"/>
          <w:sz w:val="24"/>
          <w:szCs w:val="24"/>
        </w:rPr>
        <w:t>:</w:t>
      </w:r>
      <w:r w:rsidRPr="00B17D70">
        <w:rPr>
          <w:rFonts w:ascii="Palatino Linotype" w:hAnsi="Palatino Linotype"/>
          <w:sz w:val="24"/>
          <w:szCs w:val="24"/>
        </w:rPr>
        <w:t xml:space="preserve"> “Men who are neither licentious nor wicked must consider only those sexual acts which occur in marriage and which are carried out for the creation of children to be right, since these acts are also lawful, but they must consider acts that chase after mere pleasure, even if they occur in marriage as wrong and unlawful.”</w:t>
      </w:r>
      <w:r w:rsidRPr="00B17D70">
        <w:rPr>
          <w:rFonts w:ascii="Palatino Linotype" w:hAnsi="Palatino Linotype"/>
          <w:sz w:val="24"/>
          <w:szCs w:val="24"/>
          <w:vertAlign w:val="superscript"/>
        </w:rPr>
        <w:footnoteReference w:id="1"/>
      </w:r>
      <w:r w:rsidRPr="00B17D70">
        <w:rPr>
          <w:rFonts w:ascii="Palatino Linotype" w:hAnsi="Palatino Linotype"/>
          <w:sz w:val="24"/>
          <w:szCs w:val="24"/>
        </w:rPr>
        <w:t xml:space="preserve"> (Musonius Rufus, </w:t>
      </w:r>
      <w:r w:rsidRPr="00B17D70">
        <w:rPr>
          <w:rFonts w:ascii="Palatino Linotype" w:hAnsi="Palatino Linotype"/>
          <w:i/>
          <w:iCs/>
          <w:sz w:val="24"/>
          <w:szCs w:val="24"/>
        </w:rPr>
        <w:t xml:space="preserve">Lecture </w:t>
      </w:r>
      <w:r w:rsidRPr="00B17D70">
        <w:rPr>
          <w:rFonts w:ascii="Palatino Linotype" w:hAnsi="Palatino Linotype"/>
          <w:sz w:val="24"/>
          <w:szCs w:val="24"/>
        </w:rPr>
        <w:t>12.1)</w:t>
      </w:r>
    </w:p>
    <w:p w14:paraId="53398CFD" w14:textId="7B13C9C7" w:rsidR="00B17D70" w:rsidRDefault="00B17D70" w:rsidP="005A5619">
      <w:pPr>
        <w:pStyle w:val="ListParagraph"/>
        <w:numPr>
          <w:ilvl w:val="0"/>
          <w:numId w:val="17"/>
        </w:numPr>
        <w:rPr>
          <w:rFonts w:ascii="Palatino Linotype" w:hAnsi="Palatino Linotype"/>
          <w:sz w:val="24"/>
          <w:szCs w:val="24"/>
        </w:rPr>
      </w:pPr>
      <w:r>
        <w:rPr>
          <w:rFonts w:ascii="Palatino Linotype" w:hAnsi="Palatino Linotype"/>
          <w:sz w:val="24"/>
          <w:szCs w:val="24"/>
        </w:rPr>
        <w:t>Philosophers going back to Plato and Aristotle saw bodily desires as inconvenience</w:t>
      </w:r>
      <w:r w:rsidR="00D1210A">
        <w:rPr>
          <w:rFonts w:ascii="Palatino Linotype" w:hAnsi="Palatino Linotype"/>
          <w:sz w:val="24"/>
          <w:szCs w:val="24"/>
        </w:rPr>
        <w:t>s</w:t>
      </w:r>
      <w:r>
        <w:rPr>
          <w:rFonts w:ascii="Palatino Linotype" w:hAnsi="Palatino Linotype"/>
          <w:sz w:val="24"/>
          <w:szCs w:val="24"/>
        </w:rPr>
        <w:t xml:space="preserve"> that needed to be </w:t>
      </w:r>
      <w:r w:rsidR="00685331">
        <w:rPr>
          <w:rFonts w:ascii="Palatino Linotype" w:hAnsi="Palatino Linotype"/>
          <w:sz w:val="24"/>
          <w:szCs w:val="24"/>
        </w:rPr>
        <w:t xml:space="preserve">restrained and </w:t>
      </w:r>
      <w:r w:rsidR="00D1210A">
        <w:rPr>
          <w:rFonts w:ascii="Palatino Linotype" w:hAnsi="Palatino Linotype"/>
          <w:sz w:val="24"/>
          <w:szCs w:val="24"/>
        </w:rPr>
        <w:t>put under control. They did not practice strict abstinence, but they</w:t>
      </w:r>
      <w:r w:rsidR="00A20AE3">
        <w:rPr>
          <w:rFonts w:ascii="Palatino Linotype" w:hAnsi="Palatino Linotype"/>
          <w:sz w:val="24"/>
          <w:szCs w:val="24"/>
        </w:rPr>
        <w:t xml:space="preserve"> prioritized pursuing philosophy over such mundane matters.</w:t>
      </w:r>
    </w:p>
    <w:p w14:paraId="08A5B8F4" w14:textId="275FA68E" w:rsidR="00A20AE3" w:rsidRDefault="00A20AE3" w:rsidP="005A5619">
      <w:pPr>
        <w:pStyle w:val="ListParagraph"/>
        <w:numPr>
          <w:ilvl w:val="0"/>
          <w:numId w:val="17"/>
        </w:numPr>
        <w:rPr>
          <w:rFonts w:ascii="Palatino Linotype" w:hAnsi="Palatino Linotype"/>
          <w:sz w:val="24"/>
          <w:szCs w:val="24"/>
        </w:rPr>
      </w:pPr>
      <w:r>
        <w:rPr>
          <w:rFonts w:ascii="Palatino Linotype" w:hAnsi="Palatino Linotype"/>
          <w:sz w:val="24"/>
          <w:szCs w:val="24"/>
        </w:rPr>
        <w:t xml:space="preserve">Doctors like Hippocrates (460–370 </w:t>
      </w:r>
      <w:proofErr w:type="spellStart"/>
      <w:r w:rsidRPr="00A20AE3">
        <w:rPr>
          <w:rFonts w:ascii="Palatino Linotype" w:hAnsi="Palatino Linotype"/>
          <w:smallCaps/>
          <w:sz w:val="24"/>
          <w:szCs w:val="24"/>
        </w:rPr>
        <w:t>bc</w:t>
      </w:r>
      <w:proofErr w:type="spellEnd"/>
      <w:r>
        <w:rPr>
          <w:rFonts w:ascii="Palatino Linotype" w:hAnsi="Palatino Linotype"/>
          <w:sz w:val="24"/>
          <w:szCs w:val="24"/>
        </w:rPr>
        <w:t xml:space="preserve">) and Galen (129–200 </w:t>
      </w:r>
      <w:r w:rsidRPr="00A20AE3">
        <w:rPr>
          <w:rFonts w:ascii="Palatino Linotype" w:hAnsi="Palatino Linotype"/>
          <w:smallCaps/>
          <w:sz w:val="24"/>
          <w:szCs w:val="24"/>
        </w:rPr>
        <w:t>ad</w:t>
      </w:r>
      <w:r>
        <w:rPr>
          <w:rFonts w:ascii="Palatino Linotype" w:hAnsi="Palatino Linotype"/>
          <w:sz w:val="24"/>
          <w:szCs w:val="24"/>
        </w:rPr>
        <w:t>) believed too much sex weakened men and depleted his vitality.</w:t>
      </w:r>
    </w:p>
    <w:p w14:paraId="2B3C10A7" w14:textId="2C67A866" w:rsidR="00B17D70" w:rsidRDefault="0019101D" w:rsidP="005A5619">
      <w:pPr>
        <w:contextualSpacing/>
        <w:rPr>
          <w:rFonts w:ascii="Palatino Linotype" w:hAnsi="Palatino Linotype"/>
          <w:sz w:val="24"/>
          <w:szCs w:val="24"/>
        </w:rPr>
      </w:pPr>
      <w:r>
        <w:rPr>
          <w:rFonts w:ascii="Palatino Linotype" w:hAnsi="Palatino Linotype"/>
          <w:sz w:val="24"/>
          <w:szCs w:val="24"/>
        </w:rPr>
        <w:t xml:space="preserve">The </w:t>
      </w:r>
      <w:r>
        <w:rPr>
          <w:rFonts w:ascii="Palatino Linotype" w:hAnsi="Palatino Linotype"/>
          <w:i/>
          <w:iCs/>
          <w:sz w:val="24"/>
          <w:szCs w:val="24"/>
        </w:rPr>
        <w:t xml:space="preserve">Pater </w:t>
      </w:r>
      <w:proofErr w:type="spellStart"/>
      <w:r>
        <w:rPr>
          <w:rFonts w:ascii="Palatino Linotype" w:hAnsi="Palatino Linotype"/>
          <w:i/>
          <w:iCs/>
          <w:sz w:val="24"/>
          <w:szCs w:val="24"/>
        </w:rPr>
        <w:t>Familias</w:t>
      </w:r>
      <w:proofErr w:type="spellEnd"/>
      <w:r>
        <w:rPr>
          <w:rFonts w:ascii="Palatino Linotype" w:hAnsi="Palatino Linotype"/>
          <w:sz w:val="24"/>
          <w:szCs w:val="24"/>
        </w:rPr>
        <w:t xml:space="preserve"> in the Roman World</w:t>
      </w:r>
    </w:p>
    <w:p w14:paraId="5A4F2DDC" w14:textId="63CF36CB" w:rsidR="0019101D" w:rsidRDefault="0019101D" w:rsidP="005A5619">
      <w:pPr>
        <w:pStyle w:val="ListParagraph"/>
        <w:numPr>
          <w:ilvl w:val="0"/>
          <w:numId w:val="17"/>
        </w:numPr>
        <w:rPr>
          <w:rFonts w:ascii="Palatino Linotype" w:hAnsi="Palatino Linotype"/>
          <w:sz w:val="24"/>
          <w:szCs w:val="24"/>
        </w:rPr>
      </w:pPr>
      <w:r>
        <w:rPr>
          <w:rFonts w:ascii="Palatino Linotype" w:hAnsi="Palatino Linotype"/>
          <w:sz w:val="24"/>
          <w:szCs w:val="24"/>
        </w:rPr>
        <w:t xml:space="preserve">The oldest father of the household was the </w:t>
      </w:r>
      <w:r>
        <w:rPr>
          <w:rFonts w:ascii="Palatino Linotype" w:hAnsi="Palatino Linotype"/>
          <w:i/>
          <w:iCs/>
          <w:sz w:val="24"/>
          <w:szCs w:val="24"/>
        </w:rPr>
        <w:t xml:space="preserve">pater </w:t>
      </w:r>
      <w:proofErr w:type="spellStart"/>
      <w:r>
        <w:rPr>
          <w:rFonts w:ascii="Palatino Linotype" w:hAnsi="Palatino Linotype"/>
          <w:i/>
          <w:iCs/>
          <w:sz w:val="24"/>
          <w:szCs w:val="24"/>
        </w:rPr>
        <w:t>familias</w:t>
      </w:r>
      <w:proofErr w:type="spellEnd"/>
      <w:r>
        <w:rPr>
          <w:rFonts w:ascii="Palatino Linotype" w:hAnsi="Palatino Linotype"/>
          <w:sz w:val="24"/>
          <w:szCs w:val="24"/>
        </w:rPr>
        <w:t xml:space="preserve"> who held </w:t>
      </w:r>
      <w:r>
        <w:rPr>
          <w:rFonts w:ascii="Palatino Linotype" w:hAnsi="Palatino Linotype"/>
          <w:i/>
          <w:iCs/>
          <w:sz w:val="24"/>
          <w:szCs w:val="24"/>
        </w:rPr>
        <w:t xml:space="preserve">patria </w:t>
      </w:r>
      <w:proofErr w:type="spellStart"/>
      <w:r>
        <w:rPr>
          <w:rFonts w:ascii="Palatino Linotype" w:hAnsi="Palatino Linotype"/>
          <w:i/>
          <w:iCs/>
          <w:sz w:val="24"/>
          <w:szCs w:val="24"/>
        </w:rPr>
        <w:t>potestas</w:t>
      </w:r>
      <w:proofErr w:type="spellEnd"/>
      <w:r>
        <w:rPr>
          <w:rFonts w:ascii="Palatino Linotype" w:hAnsi="Palatino Linotype"/>
          <w:sz w:val="24"/>
          <w:szCs w:val="24"/>
        </w:rPr>
        <w:t>: authority over the family, including his wife, the slaves, his children, their wives, etc.</w:t>
      </w:r>
      <w:r w:rsidR="0088762B">
        <w:rPr>
          <w:rFonts w:ascii="Palatino Linotype" w:hAnsi="Palatino Linotype"/>
          <w:sz w:val="24"/>
          <w:szCs w:val="24"/>
        </w:rPr>
        <w:t xml:space="preserve"> This power included </w:t>
      </w:r>
      <w:proofErr w:type="gramStart"/>
      <w:r w:rsidR="0088762B">
        <w:rPr>
          <w:rFonts w:ascii="Palatino Linotype" w:hAnsi="Palatino Linotype"/>
          <w:sz w:val="24"/>
          <w:szCs w:val="24"/>
        </w:rPr>
        <w:t>whether or not</w:t>
      </w:r>
      <w:proofErr w:type="gramEnd"/>
      <w:r w:rsidR="0088762B">
        <w:rPr>
          <w:rFonts w:ascii="Palatino Linotype" w:hAnsi="Palatino Linotype"/>
          <w:sz w:val="24"/>
          <w:szCs w:val="24"/>
        </w:rPr>
        <w:t xml:space="preserve"> to receive a </w:t>
      </w:r>
      <w:r w:rsidR="004613E7">
        <w:rPr>
          <w:rFonts w:ascii="Palatino Linotype" w:hAnsi="Palatino Linotype"/>
          <w:sz w:val="24"/>
          <w:szCs w:val="24"/>
        </w:rPr>
        <w:t>newborn</w:t>
      </w:r>
      <w:r w:rsidR="0088762B">
        <w:rPr>
          <w:rFonts w:ascii="Palatino Linotype" w:hAnsi="Palatino Linotype"/>
          <w:sz w:val="24"/>
          <w:szCs w:val="24"/>
        </w:rPr>
        <w:t xml:space="preserve"> into the family.</w:t>
      </w:r>
    </w:p>
    <w:p w14:paraId="2BA34010" w14:textId="68AF53CE" w:rsidR="00DA37E9" w:rsidRDefault="00DA37E9" w:rsidP="005A5619">
      <w:pPr>
        <w:pStyle w:val="ListParagraph"/>
        <w:numPr>
          <w:ilvl w:val="0"/>
          <w:numId w:val="17"/>
        </w:numPr>
        <w:rPr>
          <w:rFonts w:ascii="Palatino Linotype" w:hAnsi="Palatino Linotype"/>
          <w:sz w:val="26"/>
          <w:szCs w:val="26"/>
        </w:rPr>
      </w:pPr>
      <w:r>
        <w:rPr>
          <w:rFonts w:ascii="Palatino Linotype" w:hAnsi="Palatino Linotype"/>
          <w:sz w:val="26"/>
          <w:szCs w:val="26"/>
        </w:rPr>
        <w:lastRenderedPageBreak/>
        <w:t>Hilarion: “</w:t>
      </w:r>
      <w:r w:rsidRPr="004613E7">
        <w:rPr>
          <w:rFonts w:ascii="Palatino Linotype" w:hAnsi="Palatino Linotype"/>
          <w:sz w:val="26"/>
          <w:szCs w:val="26"/>
        </w:rPr>
        <w:t>I beg and entreat</w:t>
      </w:r>
      <w:r>
        <w:rPr>
          <w:rFonts w:ascii="Palatino Linotype" w:hAnsi="Palatino Linotype"/>
          <w:sz w:val="26"/>
          <w:szCs w:val="26"/>
        </w:rPr>
        <w:t xml:space="preserve"> you, take care of the little one, and as soon as we receive our </w:t>
      </w:r>
      <w:proofErr w:type="gramStart"/>
      <w:r>
        <w:rPr>
          <w:rFonts w:ascii="Palatino Linotype" w:hAnsi="Palatino Linotype"/>
          <w:sz w:val="26"/>
          <w:szCs w:val="26"/>
        </w:rPr>
        <w:t>pay</w:t>
      </w:r>
      <w:proofErr w:type="gramEnd"/>
      <w:r>
        <w:rPr>
          <w:rFonts w:ascii="Palatino Linotype" w:hAnsi="Palatino Linotype"/>
          <w:sz w:val="26"/>
          <w:szCs w:val="26"/>
        </w:rPr>
        <w:t xml:space="preserve"> I will send it up to you. If by chance you bear a child, if it is a boy, let it be, if it is a girl, cast it out.”</w:t>
      </w:r>
      <w:r>
        <w:rPr>
          <w:rStyle w:val="FootnoteReference"/>
          <w:rFonts w:ascii="Palatino Linotype" w:hAnsi="Palatino Linotype"/>
          <w:sz w:val="26"/>
          <w:szCs w:val="26"/>
        </w:rPr>
        <w:footnoteReference w:id="2"/>
      </w:r>
      <w:r>
        <w:rPr>
          <w:rFonts w:ascii="Palatino Linotype" w:hAnsi="Palatino Linotype"/>
          <w:sz w:val="26"/>
          <w:szCs w:val="26"/>
        </w:rPr>
        <w:t xml:space="preserve"> </w:t>
      </w:r>
      <w:r w:rsidRPr="00DA37E9">
        <w:rPr>
          <w:rFonts w:ascii="Palatino Linotype" w:hAnsi="Palatino Linotype"/>
          <w:sz w:val="26"/>
          <w:szCs w:val="26"/>
        </w:rPr>
        <w:t>(Oxyrhynchus Papyrus 744)</w:t>
      </w:r>
    </w:p>
    <w:p w14:paraId="30DD7EAE" w14:textId="1F75EDA1" w:rsidR="00DA37E9" w:rsidRDefault="00DA37E9" w:rsidP="005A5619">
      <w:pPr>
        <w:pStyle w:val="ListParagraph"/>
        <w:numPr>
          <w:ilvl w:val="0"/>
          <w:numId w:val="17"/>
        </w:numPr>
        <w:rPr>
          <w:rFonts w:ascii="Palatino Linotype" w:hAnsi="Palatino Linotype"/>
          <w:sz w:val="26"/>
          <w:szCs w:val="26"/>
        </w:rPr>
      </w:pPr>
      <w:r>
        <w:rPr>
          <w:rFonts w:ascii="Palatino Linotype" w:hAnsi="Palatino Linotype"/>
          <w:sz w:val="26"/>
          <w:szCs w:val="26"/>
        </w:rPr>
        <w:t>Apuleius: “</w:t>
      </w:r>
      <w:r w:rsidRPr="004613E7">
        <w:rPr>
          <w:rFonts w:ascii="Palatino Linotype" w:hAnsi="Palatino Linotype"/>
          <w:sz w:val="26"/>
          <w:szCs w:val="26"/>
        </w:rPr>
        <w:t>Her husband’s</w:t>
      </w:r>
      <w:r>
        <w:rPr>
          <w:rFonts w:ascii="Palatino Linotype" w:hAnsi="Palatino Linotype"/>
          <w:sz w:val="26"/>
          <w:szCs w:val="26"/>
        </w:rPr>
        <w:t xml:space="preserve"> father, having to be away on a journey, left instructions with his wife, her mother-in-law, who was pregnant, that if the child turned out to be a member of the weaker sex, it should be put to death at birth. While he was away</w:t>
      </w:r>
      <w:r w:rsidR="004613E7">
        <w:rPr>
          <w:rFonts w:ascii="Palatino Linotype" w:hAnsi="Palatino Linotype"/>
          <w:sz w:val="26"/>
          <w:szCs w:val="26"/>
        </w:rPr>
        <w:t>,</w:t>
      </w:r>
      <w:r>
        <w:rPr>
          <w:rFonts w:ascii="Palatino Linotype" w:hAnsi="Palatino Linotype"/>
          <w:sz w:val="26"/>
          <w:szCs w:val="26"/>
        </w:rPr>
        <w:t xml:space="preserve"> a girl was born; but </w:t>
      </w:r>
      <w:proofErr w:type="gramStart"/>
      <w:r>
        <w:rPr>
          <w:rFonts w:ascii="Palatino Linotype" w:hAnsi="Palatino Linotype"/>
          <w:sz w:val="26"/>
          <w:szCs w:val="26"/>
        </w:rPr>
        <w:t>mother-love</w:t>
      </w:r>
      <w:proofErr w:type="gramEnd"/>
      <w:r>
        <w:rPr>
          <w:rFonts w:ascii="Palatino Linotype" w:hAnsi="Palatino Linotype"/>
          <w:sz w:val="26"/>
          <w:szCs w:val="26"/>
        </w:rPr>
        <w:t xml:space="preserve"> was too strong for her, and disobeying her husband’s orders she entrusted the child to </w:t>
      </w:r>
      <w:proofErr w:type="spellStart"/>
      <w:r>
        <w:rPr>
          <w:rFonts w:ascii="Palatino Linotype" w:hAnsi="Palatino Linotype"/>
          <w:sz w:val="26"/>
          <w:szCs w:val="26"/>
        </w:rPr>
        <w:t>neighbours</w:t>
      </w:r>
      <w:proofErr w:type="spellEnd"/>
      <w:r>
        <w:rPr>
          <w:rFonts w:ascii="Palatino Linotype" w:hAnsi="Palatino Linotype"/>
          <w:sz w:val="26"/>
          <w:szCs w:val="26"/>
        </w:rPr>
        <w:t xml:space="preserve"> to bring up. On his return she told him that it was a daughter and had been duly put to death.”</w:t>
      </w:r>
      <w:r>
        <w:rPr>
          <w:rStyle w:val="FootnoteReference"/>
          <w:rFonts w:ascii="Palatino Linotype" w:hAnsi="Palatino Linotype"/>
          <w:sz w:val="26"/>
          <w:szCs w:val="26"/>
        </w:rPr>
        <w:footnoteReference w:id="3"/>
      </w:r>
      <w:r>
        <w:rPr>
          <w:rFonts w:ascii="Palatino Linotype" w:hAnsi="Palatino Linotype"/>
          <w:sz w:val="26"/>
          <w:szCs w:val="26"/>
        </w:rPr>
        <w:t xml:space="preserve"> (Apuleius, </w:t>
      </w:r>
      <w:r>
        <w:rPr>
          <w:rFonts w:ascii="Palatino Linotype" w:hAnsi="Palatino Linotype"/>
          <w:i/>
          <w:iCs/>
          <w:sz w:val="26"/>
          <w:szCs w:val="26"/>
        </w:rPr>
        <w:t>The Golden Ass</w:t>
      </w:r>
      <w:r>
        <w:rPr>
          <w:rFonts w:ascii="Palatino Linotype" w:hAnsi="Palatino Linotype"/>
          <w:sz w:val="26"/>
          <w:szCs w:val="26"/>
        </w:rPr>
        <w:t xml:space="preserve"> 10.23)</w:t>
      </w:r>
    </w:p>
    <w:p w14:paraId="6806EDAE" w14:textId="174DE7B1" w:rsidR="00DA37E9" w:rsidRDefault="006E362A" w:rsidP="005A5619">
      <w:pPr>
        <w:contextualSpacing/>
        <w:rPr>
          <w:rFonts w:ascii="Palatino Linotype" w:hAnsi="Palatino Linotype"/>
          <w:sz w:val="24"/>
          <w:szCs w:val="24"/>
        </w:rPr>
      </w:pPr>
      <w:r>
        <w:rPr>
          <w:rFonts w:ascii="Palatino Linotype" w:hAnsi="Palatino Linotype"/>
          <w:sz w:val="24"/>
          <w:szCs w:val="24"/>
        </w:rPr>
        <w:t>Roman Marriage</w:t>
      </w:r>
    </w:p>
    <w:p w14:paraId="739B77B4" w14:textId="0A29F1D7" w:rsidR="006E362A" w:rsidRDefault="006E362A" w:rsidP="005A5619">
      <w:pPr>
        <w:pStyle w:val="ListParagraph"/>
        <w:numPr>
          <w:ilvl w:val="0"/>
          <w:numId w:val="17"/>
        </w:numPr>
        <w:rPr>
          <w:rFonts w:ascii="Palatino Linotype" w:hAnsi="Palatino Linotype"/>
          <w:sz w:val="24"/>
          <w:szCs w:val="24"/>
        </w:rPr>
      </w:pPr>
      <w:r>
        <w:rPr>
          <w:rFonts w:ascii="Palatino Linotype" w:hAnsi="Palatino Linotype"/>
          <w:sz w:val="24"/>
          <w:szCs w:val="24"/>
        </w:rPr>
        <w:t>Girls married in their mid to late teens. The youngest marriageable age for them was twelve. Boys married in their mid to late twenties. The fathers of bride and groom agreed upon a betrothal and a dowry. The father of the bride gave her a dowry that her husband could use so long as they were married. If divorce occurred</w:t>
      </w:r>
      <w:r w:rsidR="004613E7">
        <w:rPr>
          <w:rFonts w:ascii="Palatino Linotype" w:hAnsi="Palatino Linotype"/>
          <w:sz w:val="24"/>
          <w:szCs w:val="24"/>
        </w:rPr>
        <w:t>,</w:t>
      </w:r>
      <w:r>
        <w:rPr>
          <w:rFonts w:ascii="Palatino Linotype" w:hAnsi="Palatino Linotype"/>
          <w:sz w:val="24"/>
          <w:szCs w:val="24"/>
        </w:rPr>
        <w:t xml:space="preserve"> the husband had to return the complete dowry to his ex-wife.</w:t>
      </w:r>
    </w:p>
    <w:p w14:paraId="7512BDE0" w14:textId="7DC9BFBB" w:rsidR="006E362A" w:rsidRDefault="006E362A" w:rsidP="005A5619">
      <w:pPr>
        <w:pStyle w:val="ListParagraph"/>
        <w:numPr>
          <w:ilvl w:val="0"/>
          <w:numId w:val="17"/>
        </w:numPr>
        <w:rPr>
          <w:rFonts w:ascii="Palatino Linotype" w:hAnsi="Palatino Linotype"/>
          <w:sz w:val="24"/>
          <w:szCs w:val="24"/>
        </w:rPr>
      </w:pPr>
      <w:r w:rsidRPr="006E362A">
        <w:rPr>
          <w:rFonts w:ascii="Palatino Linotype" w:hAnsi="Palatino Linotype"/>
          <w:sz w:val="24"/>
          <w:szCs w:val="24"/>
        </w:rPr>
        <w:t>Plutarch: “Marriages ought not to be made by trusting the eyes only, or the fingers either, as is the case with some who take a wife after counting up how much she brings with her, but without deciding what kind of helpmate she will be.”</w:t>
      </w:r>
      <w:r w:rsidRPr="006E362A">
        <w:rPr>
          <w:rFonts w:ascii="Palatino Linotype" w:hAnsi="Palatino Linotype"/>
          <w:sz w:val="24"/>
          <w:szCs w:val="24"/>
          <w:vertAlign w:val="superscript"/>
        </w:rPr>
        <w:footnoteReference w:id="4"/>
      </w:r>
      <w:r w:rsidRPr="006E362A">
        <w:rPr>
          <w:rFonts w:ascii="Palatino Linotype" w:hAnsi="Palatino Linotype"/>
          <w:sz w:val="24"/>
          <w:szCs w:val="24"/>
        </w:rPr>
        <w:t xml:space="preserve"> (Plutarch </w:t>
      </w:r>
      <w:r w:rsidRPr="006E362A">
        <w:rPr>
          <w:rFonts w:ascii="Palatino Linotype" w:hAnsi="Palatino Linotype"/>
          <w:i/>
          <w:iCs/>
          <w:sz w:val="24"/>
          <w:szCs w:val="24"/>
        </w:rPr>
        <w:t xml:space="preserve">Moralia </w:t>
      </w:r>
      <w:r w:rsidRPr="006E362A">
        <w:rPr>
          <w:rFonts w:ascii="Palatino Linotype" w:hAnsi="Palatino Linotype"/>
          <w:sz w:val="24"/>
          <w:szCs w:val="24"/>
        </w:rPr>
        <w:t xml:space="preserve">141, </w:t>
      </w:r>
      <w:r w:rsidRPr="006E362A">
        <w:rPr>
          <w:rFonts w:ascii="Palatino Linotype" w:hAnsi="Palatino Linotype"/>
          <w:i/>
          <w:iCs/>
          <w:sz w:val="24"/>
          <w:szCs w:val="24"/>
        </w:rPr>
        <w:t>Advice to Bride and Groom</w:t>
      </w:r>
      <w:r w:rsidRPr="006E362A">
        <w:rPr>
          <w:rFonts w:ascii="Palatino Linotype" w:hAnsi="Palatino Linotype"/>
          <w:sz w:val="24"/>
          <w:szCs w:val="24"/>
        </w:rPr>
        <w:t xml:space="preserve"> 24)</w:t>
      </w:r>
    </w:p>
    <w:p w14:paraId="45D9FA60" w14:textId="062F6900" w:rsidR="006E362A" w:rsidRDefault="006E362A" w:rsidP="005A5619">
      <w:pPr>
        <w:pStyle w:val="ListParagraph"/>
        <w:numPr>
          <w:ilvl w:val="0"/>
          <w:numId w:val="17"/>
        </w:numPr>
        <w:rPr>
          <w:rFonts w:ascii="Palatino Linotype" w:hAnsi="Palatino Linotype"/>
          <w:sz w:val="24"/>
          <w:szCs w:val="24"/>
        </w:rPr>
      </w:pPr>
      <w:r>
        <w:rPr>
          <w:rFonts w:ascii="Palatino Linotype" w:hAnsi="Palatino Linotype"/>
          <w:sz w:val="24"/>
          <w:szCs w:val="24"/>
        </w:rPr>
        <w:t xml:space="preserve">Marriage contract </w:t>
      </w:r>
      <w:r w:rsidRPr="006E362A">
        <w:rPr>
          <w:rFonts w:ascii="Palatino Linotype" w:hAnsi="Palatino Linotype"/>
          <w:sz w:val="24"/>
          <w:szCs w:val="24"/>
        </w:rPr>
        <w:t xml:space="preserve">from 2nd c. </w:t>
      </w:r>
      <w:proofErr w:type="spellStart"/>
      <w:r w:rsidRPr="006E362A">
        <w:rPr>
          <w:rFonts w:ascii="Palatino Linotype" w:hAnsi="Palatino Linotype"/>
          <w:smallCaps/>
          <w:sz w:val="24"/>
          <w:szCs w:val="24"/>
        </w:rPr>
        <w:t>bc</w:t>
      </w:r>
      <w:proofErr w:type="spellEnd"/>
      <w:r w:rsidRPr="006E362A">
        <w:rPr>
          <w:rFonts w:ascii="Palatino Linotype" w:hAnsi="Palatino Linotype"/>
          <w:sz w:val="24"/>
          <w:szCs w:val="24"/>
        </w:rPr>
        <w:t xml:space="preserve">: “Apollonia shall remain with Philiscus, obeying him as a wife should her husband, owning their property in common with him. Philiscus shall supply to Apollonia all necessaries and clothing and whatever is proper for a </w:t>
      </w:r>
      <w:proofErr w:type="gramStart"/>
      <w:r w:rsidRPr="006E362A">
        <w:rPr>
          <w:rFonts w:ascii="Palatino Linotype" w:hAnsi="Palatino Linotype"/>
          <w:sz w:val="24"/>
          <w:szCs w:val="24"/>
        </w:rPr>
        <w:t>wedded</w:t>
      </w:r>
      <w:proofErr w:type="gramEnd"/>
      <w:r w:rsidRPr="006E362A">
        <w:rPr>
          <w:rFonts w:ascii="Palatino Linotype" w:hAnsi="Palatino Linotype"/>
          <w:sz w:val="24"/>
          <w:szCs w:val="24"/>
        </w:rPr>
        <w:t xml:space="preserve"> wife, whether he is at home or abroad, so far as their property shall admit. It shall not be lawful for Philiscus to bring in any other wife but Apollonia, nor to keep a concubine or lover, nor to beget children by another woman in Apollonia's lifetime, nor to live in another house over which Apollonia is not mistress, nor to eject or insult or ill-treat her, nor to alienate any of their property to Apollonia's disadvantage. If he is shown to be </w:t>
      </w:r>
      <w:r w:rsidRPr="006E362A">
        <w:rPr>
          <w:rFonts w:ascii="Palatino Linotype" w:hAnsi="Palatino Linotype"/>
          <w:sz w:val="24"/>
          <w:szCs w:val="24"/>
        </w:rPr>
        <w:lastRenderedPageBreak/>
        <w:t xml:space="preserve">doing any of these things or does not supply her with necessaries and clothing and the rest as has been said, Philiscus shall forfeit </w:t>
      </w:r>
      <w:proofErr w:type="gramStart"/>
      <w:r w:rsidRPr="006E362A">
        <w:rPr>
          <w:rFonts w:ascii="Palatino Linotype" w:hAnsi="Palatino Linotype"/>
          <w:sz w:val="24"/>
          <w:szCs w:val="24"/>
        </w:rPr>
        <w:t>forthwith to</w:t>
      </w:r>
      <w:proofErr w:type="gramEnd"/>
      <w:r w:rsidRPr="006E362A">
        <w:rPr>
          <w:rFonts w:ascii="Palatino Linotype" w:hAnsi="Palatino Linotype"/>
          <w:sz w:val="24"/>
          <w:szCs w:val="24"/>
        </w:rPr>
        <w:t xml:space="preserve"> Apollonia the dowry of 2 talents 4,000 drachmae of copper. In the same way it shall not be lawful for Apollonia to spend the night or day away from the house of Philiscus without Philiscus' consent or to have intercourse with another man or to ruin the common household or to bring shame upon Philiscus in anything that causes a husband shame. If Apollonia wishes of her own will to separate from Philiscus, Philiscus shall repay her the bare dowry within ten days from the day it is demanded back.”</w:t>
      </w:r>
      <w:r w:rsidRPr="006E362A">
        <w:rPr>
          <w:rFonts w:ascii="Palatino Linotype" w:hAnsi="Palatino Linotype"/>
          <w:sz w:val="24"/>
          <w:szCs w:val="24"/>
          <w:vertAlign w:val="superscript"/>
        </w:rPr>
        <w:footnoteReference w:id="5"/>
      </w:r>
      <w:r w:rsidRPr="006E362A">
        <w:rPr>
          <w:rFonts w:ascii="Palatino Linotype" w:hAnsi="Palatino Linotype"/>
          <w:sz w:val="24"/>
          <w:szCs w:val="24"/>
        </w:rPr>
        <w:t xml:space="preserve"> (</w:t>
      </w:r>
      <w:proofErr w:type="spellStart"/>
      <w:r w:rsidRPr="006E362A">
        <w:rPr>
          <w:rFonts w:ascii="Palatino Linotype" w:hAnsi="Palatino Linotype"/>
          <w:sz w:val="24"/>
          <w:szCs w:val="24"/>
        </w:rPr>
        <w:t>Tebtunis</w:t>
      </w:r>
      <w:proofErr w:type="spellEnd"/>
      <w:r w:rsidRPr="006E362A">
        <w:rPr>
          <w:rFonts w:ascii="Palatino Linotype" w:hAnsi="Palatino Linotype"/>
          <w:sz w:val="24"/>
          <w:szCs w:val="24"/>
        </w:rPr>
        <w:t xml:space="preserve"> Papyrus 104)  </w:t>
      </w:r>
    </w:p>
    <w:p w14:paraId="432388E2" w14:textId="433EE344" w:rsidR="00DE3604" w:rsidRDefault="00DE3604" w:rsidP="005A5619">
      <w:pPr>
        <w:contextualSpacing/>
        <w:rPr>
          <w:rFonts w:ascii="Palatino Linotype" w:hAnsi="Palatino Linotype"/>
          <w:sz w:val="24"/>
          <w:szCs w:val="24"/>
        </w:rPr>
      </w:pPr>
      <w:r>
        <w:rPr>
          <w:rFonts w:ascii="Palatino Linotype" w:hAnsi="Palatino Linotype"/>
          <w:sz w:val="24"/>
          <w:szCs w:val="24"/>
        </w:rPr>
        <w:t>Love in Roman Marriages</w:t>
      </w:r>
    </w:p>
    <w:p w14:paraId="5EC59AF3" w14:textId="75038660" w:rsidR="00DE3604" w:rsidRPr="00B8464E" w:rsidRDefault="00DE3604" w:rsidP="005A5619">
      <w:pPr>
        <w:pStyle w:val="ListParagraph"/>
        <w:numPr>
          <w:ilvl w:val="0"/>
          <w:numId w:val="17"/>
        </w:numPr>
        <w:rPr>
          <w:rFonts w:ascii="Palatino Linotype" w:hAnsi="Palatino Linotype"/>
          <w:sz w:val="26"/>
          <w:szCs w:val="26"/>
        </w:rPr>
      </w:pPr>
      <w:r w:rsidRPr="00B8464E">
        <w:rPr>
          <w:rFonts w:ascii="Palatino Linotype" w:hAnsi="Palatino Linotype"/>
          <w:sz w:val="26"/>
          <w:szCs w:val="26"/>
        </w:rPr>
        <w:t>Epitaph for Claudia (</w:t>
      </w:r>
      <w:r>
        <w:rPr>
          <w:rFonts w:ascii="Palatino Linotype" w:hAnsi="Palatino Linotype"/>
          <w:sz w:val="26"/>
          <w:szCs w:val="26"/>
        </w:rPr>
        <w:t>100-76</w:t>
      </w:r>
      <w:r w:rsidRPr="00B8464E">
        <w:rPr>
          <w:rFonts w:ascii="Palatino Linotype" w:hAnsi="Palatino Linotype"/>
          <w:sz w:val="26"/>
          <w:szCs w:val="26"/>
        </w:rPr>
        <w:t xml:space="preserve"> </w:t>
      </w:r>
      <w:proofErr w:type="spellStart"/>
      <w:r w:rsidRPr="00DE3604">
        <w:rPr>
          <w:rFonts w:ascii="Palatino Linotype" w:hAnsi="Palatino Linotype"/>
          <w:smallCaps/>
          <w:sz w:val="26"/>
          <w:szCs w:val="26"/>
        </w:rPr>
        <w:t>bc</w:t>
      </w:r>
      <w:proofErr w:type="spellEnd"/>
      <w:r w:rsidRPr="00B8464E">
        <w:rPr>
          <w:rFonts w:ascii="Palatino Linotype" w:hAnsi="Palatino Linotype"/>
          <w:sz w:val="26"/>
          <w:szCs w:val="26"/>
        </w:rPr>
        <w:t>)</w:t>
      </w:r>
      <w:r>
        <w:rPr>
          <w:rFonts w:ascii="Palatino Linotype" w:hAnsi="Palatino Linotype"/>
          <w:sz w:val="26"/>
          <w:szCs w:val="26"/>
        </w:rPr>
        <w:t xml:space="preserve">: </w:t>
      </w:r>
      <w:r w:rsidRPr="00B8464E">
        <w:rPr>
          <w:rFonts w:ascii="Palatino Linotype" w:hAnsi="Palatino Linotype"/>
          <w:sz w:val="26"/>
          <w:szCs w:val="26"/>
        </w:rPr>
        <w:t>“</w:t>
      </w:r>
      <w:r w:rsidRPr="009B3558">
        <w:rPr>
          <w:rFonts w:ascii="Palatino Linotype" w:hAnsi="Palatino Linotype"/>
          <w:sz w:val="26"/>
          <w:szCs w:val="26"/>
        </w:rPr>
        <w:t>Stranger, what</w:t>
      </w:r>
      <w:r w:rsidRPr="00B8464E">
        <w:rPr>
          <w:rFonts w:ascii="Palatino Linotype" w:hAnsi="Palatino Linotype"/>
          <w:sz w:val="26"/>
          <w:szCs w:val="26"/>
        </w:rPr>
        <w:t xml:space="preserve"> I ask is but a little thing: stand close and read carefully. This is the not so beautiful sepulcher of a beautiful woman. The name her parents gave her was Claudia. Her husband she cherished from the depths of her heart. She gave birth to two sons: one of these she left on the earth, the other she placed beneath the earth. She was possessed of charming speech, and moreover a pleasing gait. She maintained the household. She made wool. I have spoken. Go forward.”</w:t>
      </w:r>
      <w:r>
        <w:rPr>
          <w:rStyle w:val="FootnoteReference"/>
          <w:rFonts w:ascii="Palatino Linotype" w:hAnsi="Palatino Linotype"/>
          <w:sz w:val="26"/>
          <w:szCs w:val="26"/>
        </w:rPr>
        <w:footnoteReference w:id="6"/>
      </w:r>
      <w:r w:rsidRPr="00B8464E">
        <w:rPr>
          <w:rFonts w:ascii="Palatino Linotype" w:hAnsi="Palatino Linotype"/>
          <w:sz w:val="26"/>
          <w:szCs w:val="26"/>
        </w:rPr>
        <w:t xml:space="preserve"> (CIL I</w:t>
      </w:r>
      <w:r w:rsidRPr="00B8464E">
        <w:rPr>
          <w:rFonts w:ascii="Palatino Linotype" w:hAnsi="Palatino Linotype"/>
          <w:sz w:val="26"/>
          <w:szCs w:val="26"/>
          <w:vertAlign w:val="superscript"/>
        </w:rPr>
        <w:t>2</w:t>
      </w:r>
      <w:r w:rsidRPr="00B8464E">
        <w:rPr>
          <w:rFonts w:ascii="Palatino Linotype" w:hAnsi="Palatino Linotype"/>
          <w:sz w:val="26"/>
          <w:szCs w:val="26"/>
        </w:rPr>
        <w:t xml:space="preserve"> 1211)</w:t>
      </w:r>
    </w:p>
    <w:p w14:paraId="5DD64088" w14:textId="391B170B" w:rsidR="00DE3604" w:rsidRPr="00145963" w:rsidRDefault="00DE3604" w:rsidP="005A5619">
      <w:pPr>
        <w:pStyle w:val="ListParagraph"/>
        <w:numPr>
          <w:ilvl w:val="0"/>
          <w:numId w:val="17"/>
        </w:numPr>
        <w:rPr>
          <w:rFonts w:ascii="Palatino Linotype" w:hAnsi="Palatino Linotype"/>
          <w:sz w:val="26"/>
          <w:szCs w:val="26"/>
        </w:rPr>
      </w:pPr>
      <w:r w:rsidRPr="00145963">
        <w:rPr>
          <w:rFonts w:ascii="Palatino Linotype" w:hAnsi="Palatino Linotype"/>
          <w:sz w:val="26"/>
          <w:szCs w:val="26"/>
        </w:rPr>
        <w:t xml:space="preserve">Double </w:t>
      </w:r>
      <w:r w:rsidRPr="007B219F">
        <w:rPr>
          <w:rFonts w:ascii="Palatino Linotype" w:hAnsi="Palatino Linotype"/>
          <w:sz w:val="26"/>
          <w:szCs w:val="26"/>
        </w:rPr>
        <w:t>funerary stele</w:t>
      </w:r>
      <w:r w:rsidRPr="00145963">
        <w:rPr>
          <w:rFonts w:ascii="Palatino Linotype" w:hAnsi="Palatino Linotype"/>
          <w:sz w:val="26"/>
          <w:szCs w:val="26"/>
        </w:rPr>
        <w:t xml:space="preserve"> of Aurelius Hermia and Aurelia </w:t>
      </w:r>
      <w:proofErr w:type="spellStart"/>
      <w:r w:rsidRPr="00145963">
        <w:rPr>
          <w:rFonts w:ascii="Palatino Linotype" w:hAnsi="Palatino Linotype"/>
          <w:sz w:val="26"/>
          <w:szCs w:val="26"/>
        </w:rPr>
        <w:t>Philematium</w:t>
      </w:r>
      <w:proofErr w:type="spellEnd"/>
      <w:r w:rsidRPr="00145963">
        <w:rPr>
          <w:rFonts w:ascii="Palatino Linotype" w:hAnsi="Palatino Linotype"/>
          <w:sz w:val="26"/>
          <w:szCs w:val="26"/>
        </w:rPr>
        <w:t xml:space="preserve"> (80 </w:t>
      </w:r>
      <w:proofErr w:type="spellStart"/>
      <w:r w:rsidRPr="00145963">
        <w:rPr>
          <w:rFonts w:ascii="Palatino Linotype" w:hAnsi="Palatino Linotype"/>
          <w:sz w:val="26"/>
          <w:szCs w:val="26"/>
        </w:rPr>
        <w:t>bc</w:t>
      </w:r>
      <w:proofErr w:type="spellEnd"/>
      <w:r w:rsidRPr="00145963">
        <w:rPr>
          <w:rFonts w:ascii="Palatino Linotype" w:hAnsi="Palatino Linotype"/>
          <w:sz w:val="26"/>
          <w:szCs w:val="26"/>
        </w:rPr>
        <w:t xml:space="preserve">): </w:t>
      </w:r>
      <w:r>
        <w:rPr>
          <w:rFonts w:ascii="Palatino Linotype" w:hAnsi="Palatino Linotype"/>
          <w:sz w:val="26"/>
          <w:szCs w:val="26"/>
        </w:rPr>
        <w:br/>
      </w:r>
      <w:r w:rsidRPr="00145963">
        <w:rPr>
          <w:rFonts w:ascii="Palatino Linotype" w:hAnsi="Palatino Linotype"/>
          <w:sz w:val="26"/>
          <w:szCs w:val="26"/>
        </w:rPr>
        <w:t xml:space="preserve">“Left </w:t>
      </w:r>
      <w:r>
        <w:rPr>
          <w:rFonts w:ascii="Palatino Linotype" w:hAnsi="Palatino Linotype"/>
          <w:sz w:val="26"/>
          <w:szCs w:val="26"/>
        </w:rPr>
        <w:t>side</w:t>
      </w:r>
      <w:r w:rsidRPr="00145963">
        <w:rPr>
          <w:rFonts w:ascii="Palatino Linotype" w:hAnsi="Palatino Linotype"/>
          <w:sz w:val="26"/>
          <w:szCs w:val="26"/>
        </w:rPr>
        <w:t xml:space="preserve">: </w:t>
      </w:r>
      <w:r w:rsidRPr="009B3558">
        <w:rPr>
          <w:rFonts w:ascii="Palatino Linotype" w:hAnsi="Palatino Linotype"/>
          <w:sz w:val="26"/>
          <w:szCs w:val="26"/>
        </w:rPr>
        <w:t>Lucius Aurelius</w:t>
      </w:r>
      <w:r w:rsidRPr="00145963">
        <w:rPr>
          <w:rFonts w:ascii="Palatino Linotype" w:hAnsi="Palatino Linotype"/>
          <w:sz w:val="26"/>
          <w:szCs w:val="26"/>
        </w:rPr>
        <w:t xml:space="preserve"> Hermia, freedman of Lucius, a butcher </w:t>
      </w:r>
      <w:r>
        <w:rPr>
          <w:rFonts w:ascii="Palatino Linotype" w:hAnsi="Palatino Linotype"/>
          <w:sz w:val="26"/>
          <w:szCs w:val="26"/>
        </w:rPr>
        <w:t xml:space="preserve">from </w:t>
      </w:r>
      <w:r w:rsidRPr="00145963">
        <w:rPr>
          <w:rFonts w:ascii="Palatino Linotype" w:hAnsi="Palatino Linotype"/>
          <w:sz w:val="26"/>
          <w:szCs w:val="26"/>
        </w:rPr>
        <w:t xml:space="preserve">the Viminal Hill. She who </w:t>
      </w:r>
      <w:r>
        <w:rPr>
          <w:rFonts w:ascii="Palatino Linotype" w:hAnsi="Palatino Linotype"/>
          <w:sz w:val="26"/>
          <w:szCs w:val="26"/>
        </w:rPr>
        <w:t xml:space="preserve">has gone before me by reason of fate, with chaste body, a unique spouse, loving, she </w:t>
      </w:r>
      <w:proofErr w:type="gramStart"/>
      <w:r>
        <w:rPr>
          <w:rFonts w:ascii="Palatino Linotype" w:hAnsi="Palatino Linotype"/>
          <w:sz w:val="26"/>
          <w:szCs w:val="26"/>
        </w:rPr>
        <w:t>was possessed</w:t>
      </w:r>
      <w:proofErr w:type="gramEnd"/>
      <w:r>
        <w:rPr>
          <w:rFonts w:ascii="Palatino Linotype" w:hAnsi="Palatino Linotype"/>
          <w:sz w:val="26"/>
          <w:szCs w:val="26"/>
        </w:rPr>
        <w:t xml:space="preserve"> of my heart, she lived faithful to a faithful husband with equal application, when in no bitterness, she departed from her duty.</w:t>
      </w:r>
      <w:r>
        <w:rPr>
          <w:rFonts w:ascii="Palatino Linotype" w:hAnsi="Palatino Linotype"/>
          <w:sz w:val="26"/>
          <w:szCs w:val="26"/>
        </w:rPr>
        <w:br/>
        <w:t xml:space="preserve">Right side: Aurelia, freedwoman of Lucius. Aurelia </w:t>
      </w:r>
      <w:proofErr w:type="spellStart"/>
      <w:r>
        <w:rPr>
          <w:rFonts w:ascii="Palatino Linotype" w:hAnsi="Palatino Linotype"/>
          <w:sz w:val="26"/>
          <w:szCs w:val="26"/>
        </w:rPr>
        <w:t>Philematio</w:t>
      </w:r>
      <w:proofErr w:type="spellEnd"/>
      <w:r>
        <w:rPr>
          <w:rFonts w:ascii="Palatino Linotype" w:hAnsi="Palatino Linotype"/>
          <w:sz w:val="26"/>
          <w:szCs w:val="26"/>
        </w:rPr>
        <w:t xml:space="preserve">, freedwoman of Lucius. While I lived, I was </w:t>
      </w:r>
      <w:r w:rsidR="009B3558">
        <w:rPr>
          <w:rFonts w:ascii="Palatino Linotype" w:hAnsi="Palatino Linotype"/>
          <w:sz w:val="26"/>
          <w:szCs w:val="26"/>
        </w:rPr>
        <w:t>named</w:t>
      </w:r>
      <w:r>
        <w:rPr>
          <w:rFonts w:ascii="Palatino Linotype" w:hAnsi="Palatino Linotype"/>
          <w:sz w:val="26"/>
          <w:szCs w:val="26"/>
        </w:rPr>
        <w:t xml:space="preserve"> Aurelia </w:t>
      </w:r>
      <w:proofErr w:type="spellStart"/>
      <w:r>
        <w:rPr>
          <w:rFonts w:ascii="Palatino Linotype" w:hAnsi="Palatino Linotype"/>
          <w:sz w:val="26"/>
          <w:szCs w:val="26"/>
        </w:rPr>
        <w:t>Philematium</w:t>
      </w:r>
      <w:proofErr w:type="spellEnd"/>
      <w:r>
        <w:rPr>
          <w:rFonts w:ascii="Palatino Linotype" w:hAnsi="Palatino Linotype"/>
          <w:sz w:val="26"/>
          <w:szCs w:val="26"/>
        </w:rPr>
        <w:t xml:space="preserve">, chaste, modest, ignorant of the crowd, faithful to my husband. A husband, whom I am without, alas, who was a fellow-freedman. He was to me in fact and in truth more than and beyond a parent. He took me to his bosom at the age of seven years, at the age of forty years I am in the hands of </w:t>
      </w:r>
      <w:r>
        <w:rPr>
          <w:rFonts w:ascii="Palatino Linotype" w:hAnsi="Palatino Linotype"/>
          <w:sz w:val="26"/>
          <w:szCs w:val="26"/>
        </w:rPr>
        <w:lastRenderedPageBreak/>
        <w:t>death. He prospered in the eyes of all due to my constant dutifulness.</w:t>
      </w:r>
      <w:r>
        <w:rPr>
          <w:rStyle w:val="FootnoteReference"/>
          <w:rFonts w:ascii="Palatino Linotype" w:hAnsi="Palatino Linotype"/>
          <w:sz w:val="26"/>
          <w:szCs w:val="26"/>
        </w:rPr>
        <w:footnoteReference w:id="7"/>
      </w:r>
      <w:r>
        <w:rPr>
          <w:rFonts w:ascii="Palatino Linotype" w:hAnsi="Palatino Linotype"/>
          <w:sz w:val="26"/>
          <w:szCs w:val="26"/>
        </w:rPr>
        <w:t xml:space="preserve"> (CIL 12.1221; British Museum 1867: 0508.55)</w:t>
      </w:r>
    </w:p>
    <w:p w14:paraId="7F96AF3A" w14:textId="2347095D" w:rsidR="00DE3604" w:rsidRDefault="00DE3604" w:rsidP="005A5619">
      <w:pPr>
        <w:pStyle w:val="ListParagraph"/>
        <w:numPr>
          <w:ilvl w:val="0"/>
          <w:numId w:val="17"/>
        </w:numPr>
        <w:rPr>
          <w:rFonts w:ascii="Palatino Linotype" w:hAnsi="Palatino Linotype"/>
          <w:sz w:val="26"/>
          <w:szCs w:val="26"/>
        </w:rPr>
      </w:pPr>
      <w:r>
        <w:rPr>
          <w:rFonts w:ascii="Palatino Linotype" w:hAnsi="Palatino Linotype"/>
          <w:sz w:val="26"/>
          <w:szCs w:val="26"/>
        </w:rPr>
        <w:t xml:space="preserve">Musonius Rufus (54-68 </w:t>
      </w:r>
      <w:r w:rsidRPr="00DE3604">
        <w:rPr>
          <w:rFonts w:ascii="Palatino Linotype" w:hAnsi="Palatino Linotype"/>
          <w:smallCaps/>
          <w:sz w:val="26"/>
          <w:szCs w:val="26"/>
        </w:rPr>
        <w:t>ad</w:t>
      </w:r>
      <w:r>
        <w:rPr>
          <w:rFonts w:ascii="Palatino Linotype" w:hAnsi="Palatino Linotype"/>
          <w:sz w:val="26"/>
          <w:szCs w:val="26"/>
        </w:rPr>
        <w:t>): “</w:t>
      </w:r>
      <w:r w:rsidRPr="009B3558">
        <w:rPr>
          <w:rFonts w:ascii="Palatino Linotype" w:hAnsi="Palatino Linotype"/>
          <w:sz w:val="26"/>
          <w:szCs w:val="26"/>
        </w:rPr>
        <w:t>In marriage there</w:t>
      </w:r>
      <w:r>
        <w:rPr>
          <w:rFonts w:ascii="Palatino Linotype" w:hAnsi="Palatino Linotype"/>
          <w:sz w:val="26"/>
          <w:szCs w:val="26"/>
        </w:rPr>
        <w:t xml:space="preserve"> must be, above all, companionship and care of husband and wife for each other, both in sickness and in health and on every occasion. … Such a marriage is admirable and deserves emulation; such a partnership is beautiful.”</w:t>
      </w:r>
      <w:r>
        <w:rPr>
          <w:rStyle w:val="FootnoteReference"/>
          <w:rFonts w:ascii="Palatino Linotype" w:hAnsi="Palatino Linotype"/>
          <w:sz w:val="26"/>
          <w:szCs w:val="26"/>
        </w:rPr>
        <w:footnoteReference w:id="8"/>
      </w:r>
      <w:r>
        <w:rPr>
          <w:rFonts w:ascii="Palatino Linotype" w:hAnsi="Palatino Linotype"/>
          <w:sz w:val="26"/>
          <w:szCs w:val="26"/>
        </w:rPr>
        <w:t xml:space="preserve"> (Musonius Rufus, </w:t>
      </w:r>
      <w:r w:rsidRPr="007867FA">
        <w:rPr>
          <w:rFonts w:ascii="Palatino Linotype" w:hAnsi="Palatino Linotype"/>
          <w:i/>
          <w:iCs/>
          <w:sz w:val="26"/>
          <w:szCs w:val="26"/>
        </w:rPr>
        <w:t>Lecture</w:t>
      </w:r>
      <w:r>
        <w:rPr>
          <w:rFonts w:ascii="Palatino Linotype" w:hAnsi="Palatino Linotype"/>
          <w:sz w:val="26"/>
          <w:szCs w:val="26"/>
        </w:rPr>
        <w:t xml:space="preserve"> 13.1-2) </w:t>
      </w:r>
    </w:p>
    <w:p w14:paraId="52CD465F" w14:textId="77777777" w:rsidR="00DE3604" w:rsidRDefault="00DE3604" w:rsidP="005A5619">
      <w:pPr>
        <w:pStyle w:val="ListParagraph"/>
        <w:numPr>
          <w:ilvl w:val="0"/>
          <w:numId w:val="17"/>
        </w:numPr>
        <w:rPr>
          <w:rFonts w:ascii="Palatino Linotype" w:hAnsi="Palatino Linotype"/>
          <w:sz w:val="26"/>
          <w:szCs w:val="26"/>
        </w:rPr>
      </w:pPr>
      <w:r>
        <w:rPr>
          <w:rFonts w:ascii="Palatino Linotype" w:hAnsi="Palatino Linotype"/>
          <w:sz w:val="26"/>
          <w:szCs w:val="26"/>
        </w:rPr>
        <w:t xml:space="preserve">Plutarch’s advice (90-100 </w:t>
      </w:r>
      <w:r w:rsidRPr="00DE3604">
        <w:rPr>
          <w:rFonts w:ascii="Palatino Linotype" w:hAnsi="Palatino Linotype"/>
          <w:smallCaps/>
          <w:sz w:val="26"/>
          <w:szCs w:val="26"/>
        </w:rPr>
        <w:t>ad</w:t>
      </w:r>
      <w:r>
        <w:rPr>
          <w:rFonts w:ascii="Palatino Linotype" w:hAnsi="Palatino Linotype"/>
          <w:sz w:val="26"/>
          <w:szCs w:val="26"/>
        </w:rPr>
        <w:t xml:space="preserve">): </w:t>
      </w:r>
      <w:r w:rsidRPr="009B3558">
        <w:rPr>
          <w:rFonts w:ascii="Palatino Linotype" w:hAnsi="Palatino Linotype"/>
          <w:sz w:val="26"/>
          <w:szCs w:val="26"/>
        </w:rPr>
        <w:t>“[I]t is a lovely thing</w:t>
      </w:r>
      <w:r>
        <w:rPr>
          <w:rFonts w:ascii="Palatino Linotype" w:hAnsi="Palatino Linotype"/>
          <w:sz w:val="26"/>
          <w:szCs w:val="26"/>
        </w:rPr>
        <w:t xml:space="preserve"> for the wife to sympathize with her husband’s concerns and the husband with the wife’s, so that, as ropes, by being intertwined, get strength from each other, thus, by the due contribution of goodwill in corresponding measure by each member, the copartnership may be preserved through the joint action of both. … Such a copartnership in property as well is especially befitting married people, who should pour all their resources into a common fund, and combine them, and each should not regard one part as his own and another part as the other’s.”</w:t>
      </w:r>
      <w:r>
        <w:rPr>
          <w:rStyle w:val="FootnoteReference"/>
          <w:rFonts w:ascii="Palatino Linotype" w:hAnsi="Palatino Linotype"/>
          <w:sz w:val="26"/>
          <w:szCs w:val="26"/>
        </w:rPr>
        <w:footnoteReference w:id="9"/>
      </w:r>
      <w:r>
        <w:rPr>
          <w:rFonts w:ascii="Palatino Linotype" w:hAnsi="Palatino Linotype"/>
          <w:sz w:val="26"/>
          <w:szCs w:val="26"/>
        </w:rPr>
        <w:t xml:space="preserve"> (Plutarch, </w:t>
      </w:r>
      <w:r>
        <w:rPr>
          <w:rFonts w:ascii="Palatino Linotype" w:hAnsi="Palatino Linotype"/>
          <w:i/>
          <w:iCs/>
          <w:sz w:val="26"/>
          <w:szCs w:val="26"/>
        </w:rPr>
        <w:t xml:space="preserve">Moralia </w:t>
      </w:r>
      <w:r>
        <w:rPr>
          <w:rFonts w:ascii="Palatino Linotype" w:hAnsi="Palatino Linotype"/>
          <w:sz w:val="26"/>
          <w:szCs w:val="26"/>
        </w:rPr>
        <w:t xml:space="preserve">140, </w:t>
      </w:r>
      <w:r>
        <w:rPr>
          <w:rFonts w:ascii="Palatino Linotype" w:hAnsi="Palatino Linotype"/>
          <w:i/>
          <w:iCs/>
          <w:sz w:val="26"/>
          <w:szCs w:val="26"/>
        </w:rPr>
        <w:t xml:space="preserve">Advice to Bride and Groom </w:t>
      </w:r>
      <w:r>
        <w:rPr>
          <w:rFonts w:ascii="Palatino Linotype" w:hAnsi="Palatino Linotype"/>
          <w:sz w:val="26"/>
          <w:szCs w:val="26"/>
        </w:rPr>
        <w:t>20)</w:t>
      </w:r>
      <w:r>
        <w:rPr>
          <w:rFonts w:ascii="Palatino Linotype" w:hAnsi="Palatino Linotype"/>
          <w:sz w:val="26"/>
          <w:szCs w:val="26"/>
        </w:rPr>
        <w:fldChar w:fldCharType="begin"/>
      </w:r>
      <w:r>
        <w:rPr>
          <w:rFonts w:ascii="Palatino Linotype" w:hAnsi="Palatino Linotype"/>
          <w:sz w:val="26"/>
          <w:szCs w:val="26"/>
        </w:rPr>
        <w:instrText xml:space="preserve"> ADDIN EN.CITE &lt;EndNote&gt;&lt;Cite&gt;&lt;Author&gt;Plutarch&lt;/Author&gt;&lt;Year&gt;1928&lt;/Year&gt;&lt;RecNum&gt;510&lt;/RecNum&gt;&lt;record&gt;&lt;rec-number&gt;510&lt;/rec-number&gt;&lt;foreign-keys&gt;&lt;key app="EN" db-id="rvzp5afzc2eppgewzt5x0esos0rsevefr9z5" timestamp="1738541937"&gt;510&lt;/key&gt;&lt;/foreign-keys&gt;&lt;ref-type name="Book"&gt;6&lt;/ref-type&gt;&lt;contributors&gt;&lt;authors&gt;&lt;author&gt;Plutarch&lt;/author&gt;&lt;/authors&gt;&lt;/contributors&gt;&lt;titles&gt;&lt;title&gt;Moralia&lt;/title&gt;&lt;secondary-title&gt;Loeb Classical Library&lt;/secondary-title&gt;&lt;/titles&gt;&lt;volume&gt;2&lt;/volume&gt;&lt;number&gt;222&lt;/number&gt;&lt;dates&gt;&lt;year&gt;1928&lt;/year&gt;&lt;/dates&gt;&lt;pub-location&gt;Cambridge, MA&lt;/pub-location&gt;&lt;publisher&gt;Harvard University&lt;/publisher&gt;&lt;urls&gt;&lt;/urls&gt;&lt;/record&gt;&lt;/Cite&gt;&lt;/EndNote&gt;</w:instrText>
      </w:r>
      <w:r>
        <w:rPr>
          <w:rFonts w:ascii="Palatino Linotype" w:hAnsi="Palatino Linotype"/>
          <w:sz w:val="26"/>
          <w:szCs w:val="26"/>
        </w:rPr>
        <w:fldChar w:fldCharType="separate"/>
      </w:r>
      <w:r>
        <w:rPr>
          <w:rFonts w:ascii="Palatino Linotype" w:hAnsi="Palatino Linotype"/>
          <w:sz w:val="26"/>
          <w:szCs w:val="26"/>
        </w:rPr>
        <w:fldChar w:fldCharType="end"/>
      </w:r>
    </w:p>
    <w:p w14:paraId="77468865" w14:textId="622A6005" w:rsidR="00DE3604" w:rsidRDefault="005A5619" w:rsidP="005A5619">
      <w:pPr>
        <w:contextualSpacing/>
        <w:rPr>
          <w:rFonts w:ascii="Palatino Linotype" w:hAnsi="Palatino Linotype"/>
          <w:sz w:val="24"/>
          <w:szCs w:val="24"/>
        </w:rPr>
      </w:pPr>
      <w:r>
        <w:rPr>
          <w:rFonts w:ascii="Palatino Linotype" w:hAnsi="Palatino Linotype"/>
          <w:sz w:val="24"/>
          <w:szCs w:val="24"/>
        </w:rPr>
        <w:t>Adultery in the Roman Empire</w:t>
      </w:r>
    </w:p>
    <w:p w14:paraId="3E514B15" w14:textId="77777777" w:rsidR="005A5619" w:rsidRDefault="005A5619" w:rsidP="005A5619">
      <w:pPr>
        <w:numPr>
          <w:ilvl w:val="0"/>
          <w:numId w:val="19"/>
        </w:numPr>
        <w:contextualSpacing/>
        <w:rPr>
          <w:rFonts w:ascii="Palatino Linotype" w:hAnsi="Palatino Linotype"/>
          <w:sz w:val="24"/>
          <w:szCs w:val="24"/>
        </w:rPr>
      </w:pPr>
      <w:r w:rsidRPr="005A5619">
        <w:rPr>
          <w:rFonts w:ascii="Palatino Linotype" w:hAnsi="Palatino Linotype"/>
          <w:sz w:val="24"/>
          <w:szCs w:val="24"/>
        </w:rPr>
        <w:t xml:space="preserve">Plutarch: “The lawful wives of the Persian kings sit beside them at </w:t>
      </w:r>
      <w:proofErr w:type="gramStart"/>
      <w:r w:rsidRPr="005A5619">
        <w:rPr>
          <w:rFonts w:ascii="Palatino Linotype" w:hAnsi="Palatino Linotype"/>
          <w:sz w:val="24"/>
          <w:szCs w:val="24"/>
        </w:rPr>
        <w:t>dinner, and</w:t>
      </w:r>
      <w:proofErr w:type="gramEnd"/>
      <w:r w:rsidRPr="005A5619">
        <w:rPr>
          <w:rFonts w:ascii="Palatino Linotype" w:hAnsi="Palatino Linotype"/>
          <w:sz w:val="24"/>
          <w:szCs w:val="24"/>
        </w:rPr>
        <w:t xml:space="preserve"> eat with them. But when the kings wish to be merry and get drunk, they send their wives </w:t>
      </w:r>
      <w:proofErr w:type="gramStart"/>
      <w:r w:rsidRPr="005A5619">
        <w:rPr>
          <w:rFonts w:ascii="Palatino Linotype" w:hAnsi="Palatino Linotype"/>
          <w:sz w:val="24"/>
          <w:szCs w:val="24"/>
        </w:rPr>
        <w:t>away, and</w:t>
      </w:r>
      <w:proofErr w:type="gramEnd"/>
      <w:r w:rsidRPr="005A5619">
        <w:rPr>
          <w:rFonts w:ascii="Palatino Linotype" w:hAnsi="Palatino Linotype"/>
          <w:sz w:val="24"/>
          <w:szCs w:val="24"/>
        </w:rPr>
        <w:t xml:space="preserve"> send for their music-girls and concubines. In so far as they are right in what they do, because they do not concede any share in their licentiousness and debauchery to their wedded wives. If therefore a man in private life, who is incontinent and dissolute in regard to his pleasures, commit some peccadillo with a paramour or a maidservant, his wedded wife ought not to be indignant or angry, but she should reason that it is respect for her which leads him to share his debauchery, licentiousness, and wantonness with another woman.”</w:t>
      </w:r>
      <w:r w:rsidRPr="005A5619">
        <w:rPr>
          <w:rFonts w:ascii="Palatino Linotype" w:hAnsi="Palatino Linotype"/>
          <w:sz w:val="24"/>
          <w:szCs w:val="24"/>
          <w:vertAlign w:val="superscript"/>
        </w:rPr>
        <w:footnoteReference w:id="10"/>
      </w:r>
      <w:r w:rsidRPr="005A5619">
        <w:rPr>
          <w:rFonts w:ascii="Palatino Linotype" w:hAnsi="Palatino Linotype"/>
          <w:sz w:val="24"/>
          <w:szCs w:val="24"/>
        </w:rPr>
        <w:fldChar w:fldCharType="begin"/>
      </w:r>
      <w:r w:rsidRPr="005A5619">
        <w:rPr>
          <w:rFonts w:ascii="Palatino Linotype" w:hAnsi="Palatino Linotype"/>
          <w:sz w:val="24"/>
          <w:szCs w:val="24"/>
        </w:rPr>
        <w:instrText xml:space="preserve"> ADDIN EN.CITE &lt;EndNote&gt;&lt;Cite&gt;&lt;Author&gt;Plutarch&lt;/Author&gt;&lt;Year&gt;1928&lt;/Year&gt;&lt;RecNum&gt;510&lt;/RecNum&gt;&lt;record&gt;&lt;rec-number&gt;510&lt;/rec-number&gt;&lt;foreign-keys&gt;&lt;key app="EN" db-id="rvzp5afzc2eppgewzt5x0esos0rsevefr9z5" timestamp="1738541937"&gt;510&lt;/key&gt;&lt;/foreign-keys&gt;&lt;ref-type name="Book"&gt;6&lt;/ref-type&gt;&lt;contributors&gt;&lt;authors&gt;&lt;author&gt;Plutarch&lt;/author&gt;&lt;/authors&gt;&lt;/contributors&gt;&lt;titles&gt;&lt;title&gt;Moralia&lt;/title&gt;&lt;secondary-title&gt;Loeb Classical Library&lt;/secondary-title&gt;&lt;/titles&gt;&lt;volume&gt;2&lt;/volume&gt;&lt;number&gt;222&lt;/number&gt;&lt;dates&gt;&lt;year&gt;1928&lt;/year&gt;&lt;/dates&gt;&lt;pub-location&gt;Cambridge, MA&lt;/pub-location&gt;&lt;publisher&gt;Harvard University&lt;/publisher&gt;&lt;urls&gt;&lt;/urls&gt;&lt;/record&gt;&lt;/Cite&gt;&lt;/EndNote&gt;</w:instrText>
      </w:r>
      <w:r w:rsidRPr="005A5619">
        <w:rPr>
          <w:rFonts w:ascii="Palatino Linotype" w:hAnsi="Palatino Linotype"/>
          <w:sz w:val="24"/>
          <w:szCs w:val="24"/>
        </w:rPr>
        <w:fldChar w:fldCharType="separate"/>
      </w:r>
      <w:r w:rsidRPr="005A5619">
        <w:rPr>
          <w:rFonts w:ascii="Palatino Linotype" w:hAnsi="Palatino Linotype"/>
          <w:sz w:val="24"/>
          <w:szCs w:val="24"/>
        </w:rPr>
        <w:fldChar w:fldCharType="end"/>
      </w:r>
      <w:r w:rsidRPr="005A5619">
        <w:rPr>
          <w:rFonts w:ascii="Palatino Linotype" w:hAnsi="Palatino Linotype"/>
          <w:sz w:val="24"/>
          <w:szCs w:val="24"/>
        </w:rPr>
        <w:t xml:space="preserve"> (Plutarch, </w:t>
      </w:r>
      <w:r w:rsidRPr="005A5619">
        <w:rPr>
          <w:rFonts w:ascii="Palatino Linotype" w:hAnsi="Palatino Linotype"/>
          <w:i/>
          <w:iCs/>
          <w:sz w:val="24"/>
          <w:szCs w:val="24"/>
        </w:rPr>
        <w:t xml:space="preserve">Moralia </w:t>
      </w:r>
      <w:r w:rsidRPr="005A5619">
        <w:rPr>
          <w:rFonts w:ascii="Palatino Linotype" w:hAnsi="Palatino Linotype"/>
          <w:sz w:val="24"/>
          <w:szCs w:val="24"/>
        </w:rPr>
        <w:t>140,</w:t>
      </w:r>
      <w:r w:rsidRPr="005A5619">
        <w:rPr>
          <w:rFonts w:ascii="Palatino Linotype" w:hAnsi="Palatino Linotype"/>
          <w:i/>
          <w:iCs/>
          <w:sz w:val="24"/>
          <w:szCs w:val="24"/>
        </w:rPr>
        <w:t xml:space="preserve"> Advice to Bride and Groom </w:t>
      </w:r>
      <w:r w:rsidRPr="005A5619">
        <w:rPr>
          <w:rFonts w:ascii="Palatino Linotype" w:hAnsi="Palatino Linotype"/>
          <w:sz w:val="24"/>
          <w:szCs w:val="24"/>
        </w:rPr>
        <w:t>16)</w:t>
      </w:r>
    </w:p>
    <w:p w14:paraId="3D158445" w14:textId="2E2E9CBB" w:rsidR="005A5619" w:rsidRPr="005A5619" w:rsidRDefault="005A5619" w:rsidP="005A5619">
      <w:pPr>
        <w:numPr>
          <w:ilvl w:val="0"/>
          <w:numId w:val="19"/>
        </w:numPr>
        <w:contextualSpacing/>
        <w:rPr>
          <w:rFonts w:ascii="Palatino Linotype" w:hAnsi="Palatino Linotype"/>
          <w:sz w:val="24"/>
          <w:szCs w:val="24"/>
        </w:rPr>
      </w:pPr>
      <w:r w:rsidRPr="005A5619">
        <w:rPr>
          <w:rFonts w:ascii="Palatino Linotype" w:hAnsi="Palatino Linotype"/>
          <w:sz w:val="24"/>
          <w:szCs w:val="24"/>
        </w:rPr>
        <w:t xml:space="preserve">Plutarch (writing 90-100 ad): “They say that the cat is excited to frenzy by the </w:t>
      </w:r>
      <w:proofErr w:type="spellStart"/>
      <w:r w:rsidRPr="005A5619">
        <w:rPr>
          <w:rFonts w:ascii="Palatino Linotype" w:hAnsi="Palatino Linotype"/>
          <w:sz w:val="24"/>
          <w:szCs w:val="24"/>
        </w:rPr>
        <w:t>odour</w:t>
      </w:r>
      <w:proofErr w:type="spellEnd"/>
      <w:r w:rsidRPr="005A5619">
        <w:rPr>
          <w:rFonts w:ascii="Palatino Linotype" w:hAnsi="Palatino Linotype"/>
          <w:sz w:val="24"/>
          <w:szCs w:val="24"/>
        </w:rPr>
        <w:t xml:space="preserve"> of perfumes. … Now inasmuch as women are affected in this way, not by their husbands’ using perfume, but by their having </w:t>
      </w:r>
      <w:proofErr w:type="spellStart"/>
      <w:r w:rsidRPr="005A5619">
        <w:rPr>
          <w:rFonts w:ascii="Palatino Linotype" w:hAnsi="Palatino Linotype"/>
          <w:sz w:val="24"/>
          <w:szCs w:val="24"/>
        </w:rPr>
        <w:t>connexion</w:t>
      </w:r>
      <w:proofErr w:type="spellEnd"/>
      <w:r w:rsidRPr="005A5619">
        <w:rPr>
          <w:rFonts w:ascii="Palatino Linotype" w:hAnsi="Palatino Linotype"/>
          <w:sz w:val="24"/>
          <w:szCs w:val="24"/>
        </w:rPr>
        <w:t xml:space="preserve"> with other </w:t>
      </w:r>
      <w:r w:rsidRPr="005A5619">
        <w:rPr>
          <w:rFonts w:ascii="Palatino Linotype" w:hAnsi="Palatino Linotype"/>
          <w:sz w:val="24"/>
          <w:szCs w:val="24"/>
        </w:rPr>
        <w:lastRenderedPageBreak/>
        <w:t xml:space="preserve">women, it is unfair to pain and disturb them so much for the sake of a trivial pleasure, and…to be pure and clean from all </w:t>
      </w:r>
      <w:proofErr w:type="spellStart"/>
      <w:r w:rsidRPr="005A5619">
        <w:rPr>
          <w:rFonts w:ascii="Palatino Linotype" w:hAnsi="Palatino Linotype"/>
          <w:sz w:val="24"/>
          <w:szCs w:val="24"/>
        </w:rPr>
        <w:t>connexion</w:t>
      </w:r>
      <w:proofErr w:type="spellEnd"/>
      <w:r w:rsidRPr="005A5619">
        <w:rPr>
          <w:rFonts w:ascii="Palatino Linotype" w:hAnsi="Palatino Linotype"/>
          <w:sz w:val="24"/>
          <w:szCs w:val="24"/>
        </w:rPr>
        <w:t xml:space="preserve"> with others when they approach their wives.”</w:t>
      </w:r>
      <w:r w:rsidRPr="005A5619">
        <w:rPr>
          <w:rFonts w:ascii="Palatino Linotype" w:hAnsi="Palatino Linotype"/>
          <w:sz w:val="24"/>
          <w:szCs w:val="24"/>
          <w:vertAlign w:val="superscript"/>
        </w:rPr>
        <w:footnoteReference w:id="11"/>
      </w:r>
      <w:r w:rsidRPr="005A5619">
        <w:rPr>
          <w:rFonts w:ascii="Palatino Linotype" w:hAnsi="Palatino Linotype"/>
          <w:sz w:val="24"/>
          <w:szCs w:val="24"/>
        </w:rPr>
        <w:t xml:space="preserve"> (Plutarch, </w:t>
      </w:r>
      <w:r w:rsidRPr="005A5619">
        <w:rPr>
          <w:rFonts w:ascii="Palatino Linotype" w:hAnsi="Palatino Linotype"/>
          <w:i/>
          <w:iCs/>
          <w:sz w:val="24"/>
          <w:szCs w:val="24"/>
        </w:rPr>
        <w:t xml:space="preserve">Moralia </w:t>
      </w:r>
      <w:r w:rsidRPr="005A5619">
        <w:rPr>
          <w:rFonts w:ascii="Palatino Linotype" w:hAnsi="Palatino Linotype"/>
          <w:sz w:val="24"/>
          <w:szCs w:val="24"/>
        </w:rPr>
        <w:t xml:space="preserve">144, </w:t>
      </w:r>
      <w:r w:rsidRPr="005A5619">
        <w:rPr>
          <w:rFonts w:ascii="Palatino Linotype" w:hAnsi="Palatino Linotype"/>
          <w:i/>
          <w:iCs/>
          <w:sz w:val="24"/>
          <w:szCs w:val="24"/>
        </w:rPr>
        <w:t xml:space="preserve">Advice to Bride and Groom </w:t>
      </w:r>
      <w:r w:rsidRPr="005A5619">
        <w:rPr>
          <w:rFonts w:ascii="Palatino Linotype" w:hAnsi="Palatino Linotype"/>
          <w:sz w:val="24"/>
          <w:szCs w:val="24"/>
        </w:rPr>
        <w:t>44)</w:t>
      </w:r>
    </w:p>
    <w:p w14:paraId="3870A5D1" w14:textId="77777777" w:rsidR="005A5619" w:rsidRPr="005A5619" w:rsidRDefault="005A5619" w:rsidP="005A5619">
      <w:pPr>
        <w:numPr>
          <w:ilvl w:val="0"/>
          <w:numId w:val="19"/>
        </w:numPr>
        <w:contextualSpacing/>
        <w:rPr>
          <w:rFonts w:ascii="Palatino Linotype" w:hAnsi="Palatino Linotype"/>
          <w:sz w:val="24"/>
          <w:szCs w:val="24"/>
        </w:rPr>
      </w:pPr>
      <w:r w:rsidRPr="005A5619">
        <w:rPr>
          <w:rFonts w:ascii="Palatino Linotype" w:hAnsi="Palatino Linotype"/>
          <w:sz w:val="24"/>
          <w:szCs w:val="24"/>
        </w:rPr>
        <w:t xml:space="preserve">Martial (writing in 90ad in Rome): talks about a guy whose wife had 7 children, all from other men: “You have been made, Cinna, by </w:t>
      </w:r>
      <w:proofErr w:type="spellStart"/>
      <w:r w:rsidRPr="005A5619">
        <w:rPr>
          <w:rFonts w:ascii="Palatino Linotype" w:hAnsi="Palatino Linotype"/>
          <w:sz w:val="24"/>
          <w:szCs w:val="24"/>
        </w:rPr>
        <w:t>Marulla</w:t>
      </w:r>
      <w:proofErr w:type="spellEnd"/>
      <w:r w:rsidRPr="005A5619">
        <w:rPr>
          <w:rFonts w:ascii="Palatino Linotype" w:hAnsi="Palatino Linotype"/>
          <w:sz w:val="24"/>
          <w:szCs w:val="24"/>
        </w:rPr>
        <w:t xml:space="preserve"> the father of seven—not children, for there is no son of yours, nor son of a friend or </w:t>
      </w:r>
      <w:proofErr w:type="spellStart"/>
      <w:r w:rsidRPr="005A5619">
        <w:rPr>
          <w:rFonts w:ascii="Palatino Linotype" w:hAnsi="Palatino Linotype"/>
          <w:sz w:val="24"/>
          <w:szCs w:val="24"/>
        </w:rPr>
        <w:t>neighbour</w:t>
      </w:r>
      <w:proofErr w:type="spellEnd"/>
      <w:r w:rsidRPr="005A5619">
        <w:rPr>
          <w:rFonts w:ascii="Palatino Linotype" w:hAnsi="Palatino Linotype"/>
          <w:sz w:val="24"/>
          <w:szCs w:val="24"/>
        </w:rPr>
        <w:t xml:space="preserve">; but creatures conceived on truckle-beds and mats betray by their features their mother’s adulteries. This one who struts with curly hair, a Moor, confesses he is the offspring of Santra the cook; but that other with flat nostrils, blubber lips </w:t>
      </w:r>
      <w:proofErr w:type="gramStart"/>
      <w:r w:rsidRPr="005A5619">
        <w:rPr>
          <w:rFonts w:ascii="Palatino Linotype" w:hAnsi="Palatino Linotype"/>
          <w:sz w:val="24"/>
          <w:szCs w:val="24"/>
        </w:rPr>
        <w:t>is</w:t>
      </w:r>
      <w:proofErr w:type="gramEnd"/>
      <w:r w:rsidRPr="005A5619">
        <w:rPr>
          <w:rFonts w:ascii="Palatino Linotype" w:hAnsi="Palatino Linotype"/>
          <w:sz w:val="24"/>
          <w:szCs w:val="24"/>
        </w:rPr>
        <w:t xml:space="preserve"> the very image of </w:t>
      </w:r>
      <w:proofErr w:type="spellStart"/>
      <w:r w:rsidRPr="005A5619">
        <w:rPr>
          <w:rFonts w:ascii="Palatino Linotype" w:hAnsi="Palatino Linotype"/>
          <w:sz w:val="24"/>
          <w:szCs w:val="24"/>
        </w:rPr>
        <w:t>Pannichus</w:t>
      </w:r>
      <w:proofErr w:type="spellEnd"/>
      <w:r w:rsidRPr="005A5619">
        <w:rPr>
          <w:rFonts w:ascii="Palatino Linotype" w:hAnsi="Palatino Linotype"/>
          <w:sz w:val="24"/>
          <w:szCs w:val="24"/>
        </w:rPr>
        <w:t xml:space="preserve"> the wrestler. Who is not aware, if he has known and seen blear-eyed Dama, that the third is the baker’s son?”</w:t>
      </w:r>
      <w:r w:rsidRPr="005A5619">
        <w:rPr>
          <w:rFonts w:ascii="Palatino Linotype" w:hAnsi="Palatino Linotype"/>
          <w:sz w:val="24"/>
          <w:szCs w:val="24"/>
          <w:vertAlign w:val="superscript"/>
        </w:rPr>
        <w:footnoteReference w:id="12"/>
      </w:r>
      <w:r w:rsidRPr="005A5619">
        <w:rPr>
          <w:rFonts w:ascii="Palatino Linotype" w:hAnsi="Palatino Linotype"/>
          <w:sz w:val="24"/>
          <w:szCs w:val="24"/>
        </w:rPr>
        <w:t xml:space="preserve"> (Martial, </w:t>
      </w:r>
      <w:r w:rsidRPr="005A5619">
        <w:rPr>
          <w:rFonts w:ascii="Palatino Linotype" w:hAnsi="Palatino Linotype"/>
          <w:i/>
          <w:iCs/>
          <w:sz w:val="24"/>
          <w:szCs w:val="24"/>
        </w:rPr>
        <w:t xml:space="preserve">Epigrams </w:t>
      </w:r>
      <w:r w:rsidRPr="005A5619">
        <w:rPr>
          <w:rFonts w:ascii="Palatino Linotype" w:hAnsi="Palatino Linotype"/>
          <w:sz w:val="24"/>
          <w:szCs w:val="24"/>
        </w:rPr>
        <w:t>6.39)</w:t>
      </w:r>
    </w:p>
    <w:p w14:paraId="54960BAE" w14:textId="1804D213" w:rsidR="005A5619" w:rsidRPr="005A5619" w:rsidRDefault="005A5619" w:rsidP="005A5619">
      <w:pPr>
        <w:numPr>
          <w:ilvl w:val="0"/>
          <w:numId w:val="19"/>
        </w:numPr>
        <w:contextualSpacing/>
        <w:rPr>
          <w:rFonts w:ascii="Palatino Linotype" w:hAnsi="Palatino Linotype"/>
          <w:sz w:val="24"/>
          <w:szCs w:val="24"/>
        </w:rPr>
      </w:pPr>
      <w:r w:rsidRPr="005A5619">
        <w:rPr>
          <w:rFonts w:ascii="Palatino Linotype" w:hAnsi="Palatino Linotype"/>
          <w:sz w:val="24"/>
          <w:szCs w:val="24"/>
        </w:rPr>
        <w:t xml:space="preserve">Juvenal (writing in 120 ad from Rome): “Marry a wife, and she’ll make some smart guitarist or flute-player a father, not you. Or, when you…hang your front-door with outsize laurel wreaths, it’ll all be to welcome an infant whose face, in the tortoiseshell cradle, under its canopy, recalls some </w:t>
      </w:r>
      <w:proofErr w:type="spellStart"/>
      <w:r w:rsidRPr="005A5619">
        <w:rPr>
          <w:rFonts w:ascii="Palatino Linotype" w:hAnsi="Palatino Linotype"/>
          <w:sz w:val="24"/>
          <w:szCs w:val="24"/>
        </w:rPr>
        <w:t>armoured</w:t>
      </w:r>
      <w:proofErr w:type="spellEnd"/>
      <w:r w:rsidRPr="005A5619">
        <w:rPr>
          <w:rFonts w:ascii="Palatino Linotype" w:hAnsi="Palatino Linotype"/>
          <w:sz w:val="24"/>
          <w:szCs w:val="24"/>
        </w:rPr>
        <w:t xml:space="preserve"> thug, some idol of the arena.”</w:t>
      </w:r>
      <w:r w:rsidRPr="005A5619">
        <w:rPr>
          <w:rFonts w:ascii="Palatino Linotype" w:hAnsi="Palatino Linotype"/>
          <w:sz w:val="24"/>
          <w:szCs w:val="24"/>
          <w:vertAlign w:val="superscript"/>
        </w:rPr>
        <w:footnoteReference w:id="13"/>
      </w:r>
      <w:r w:rsidRPr="005A5619">
        <w:rPr>
          <w:rFonts w:ascii="Palatino Linotype" w:hAnsi="Palatino Linotype"/>
          <w:sz w:val="24"/>
          <w:szCs w:val="24"/>
        </w:rPr>
        <w:t xml:space="preserve"> (Juvenal, </w:t>
      </w:r>
      <w:r w:rsidRPr="005A5619">
        <w:rPr>
          <w:rFonts w:ascii="Palatino Linotype" w:hAnsi="Palatino Linotype"/>
          <w:i/>
          <w:iCs/>
          <w:sz w:val="24"/>
          <w:szCs w:val="24"/>
        </w:rPr>
        <w:t xml:space="preserve">Satire </w:t>
      </w:r>
      <w:r w:rsidRPr="005A5619">
        <w:rPr>
          <w:rFonts w:ascii="Palatino Linotype" w:hAnsi="Palatino Linotype"/>
          <w:sz w:val="24"/>
          <w:szCs w:val="24"/>
        </w:rPr>
        <w:t>6.76-81; cp. 6.597-601)</w:t>
      </w:r>
    </w:p>
    <w:p w14:paraId="10AE5ECE" w14:textId="77777777" w:rsidR="00CA3467" w:rsidRDefault="00CA3467" w:rsidP="00CA3467">
      <w:pPr>
        <w:rPr>
          <w:rFonts w:ascii="Palatino Linotype" w:hAnsi="Palatino Linotype"/>
          <w:sz w:val="24"/>
          <w:szCs w:val="24"/>
        </w:rPr>
      </w:pPr>
    </w:p>
    <w:p w14:paraId="5D8BFF2B" w14:textId="1682F816" w:rsidR="005A5619" w:rsidRDefault="00CA3467" w:rsidP="00CA3467">
      <w:pPr>
        <w:rPr>
          <w:rFonts w:ascii="Palatino Linotype" w:hAnsi="Palatino Linotype"/>
          <w:sz w:val="24"/>
          <w:szCs w:val="24"/>
        </w:rPr>
      </w:pPr>
      <w:r>
        <w:rPr>
          <w:rFonts w:ascii="Palatino Linotype" w:hAnsi="Palatino Linotype"/>
          <w:sz w:val="24"/>
          <w:szCs w:val="24"/>
        </w:rPr>
        <w:t>Augustus Legislated against Adultery</w:t>
      </w:r>
      <w:r w:rsidR="004A03B4">
        <w:rPr>
          <w:rFonts w:ascii="Palatino Linotype" w:hAnsi="Palatino Linotype"/>
          <w:sz w:val="24"/>
          <w:szCs w:val="24"/>
        </w:rPr>
        <w:t xml:space="preserve"> and Unchastity (18 </w:t>
      </w:r>
      <w:proofErr w:type="spellStart"/>
      <w:r w:rsidR="004A03B4" w:rsidRPr="004A03B4">
        <w:rPr>
          <w:rFonts w:ascii="Palatino Linotype" w:hAnsi="Palatino Linotype"/>
          <w:smallCaps/>
          <w:sz w:val="24"/>
          <w:szCs w:val="24"/>
        </w:rPr>
        <w:t>bc</w:t>
      </w:r>
      <w:proofErr w:type="spellEnd"/>
      <w:r w:rsidR="004A03B4">
        <w:rPr>
          <w:rFonts w:ascii="Palatino Linotype" w:hAnsi="Palatino Linotype"/>
          <w:sz w:val="24"/>
          <w:szCs w:val="24"/>
        </w:rPr>
        <w:t>)</w:t>
      </w:r>
    </w:p>
    <w:p w14:paraId="5ABA8539" w14:textId="577C384D" w:rsidR="004A03B4" w:rsidRDefault="004A03B4" w:rsidP="004A03B4">
      <w:pPr>
        <w:pStyle w:val="ListParagraph"/>
        <w:numPr>
          <w:ilvl w:val="0"/>
          <w:numId w:val="19"/>
        </w:numPr>
        <w:rPr>
          <w:rFonts w:ascii="Palatino Linotype" w:hAnsi="Palatino Linotype"/>
          <w:sz w:val="24"/>
          <w:szCs w:val="24"/>
        </w:rPr>
      </w:pPr>
      <w:r>
        <w:rPr>
          <w:rFonts w:ascii="Palatino Linotype" w:hAnsi="Palatino Linotype"/>
          <w:sz w:val="24"/>
          <w:szCs w:val="24"/>
        </w:rPr>
        <w:t>He instituted penalties for not marrying</w:t>
      </w:r>
      <w:r w:rsidR="00807E22">
        <w:rPr>
          <w:rFonts w:ascii="Palatino Linotype" w:hAnsi="Palatino Linotype"/>
          <w:sz w:val="24"/>
          <w:szCs w:val="24"/>
        </w:rPr>
        <w:t xml:space="preserve">, incentives </w:t>
      </w:r>
      <w:r w:rsidR="008C49C1">
        <w:rPr>
          <w:rFonts w:ascii="Palatino Linotype" w:hAnsi="Palatino Linotype"/>
          <w:sz w:val="24"/>
          <w:szCs w:val="24"/>
        </w:rPr>
        <w:t>for those with large families</w:t>
      </w:r>
      <w:r w:rsidR="00807E22">
        <w:rPr>
          <w:rFonts w:ascii="Palatino Linotype" w:hAnsi="Palatino Linotype"/>
          <w:sz w:val="24"/>
          <w:szCs w:val="24"/>
        </w:rPr>
        <w:t>, and punishments for adultery.</w:t>
      </w:r>
    </w:p>
    <w:p w14:paraId="717DE60B" w14:textId="4437C46A" w:rsidR="004A03B4" w:rsidRDefault="004A03B4" w:rsidP="004A03B4">
      <w:pPr>
        <w:pStyle w:val="ListParagraph"/>
        <w:numPr>
          <w:ilvl w:val="0"/>
          <w:numId w:val="19"/>
        </w:numPr>
        <w:rPr>
          <w:rFonts w:ascii="Palatino Linotype" w:hAnsi="Palatino Linotype"/>
          <w:sz w:val="24"/>
          <w:szCs w:val="24"/>
        </w:rPr>
      </w:pPr>
      <w:r w:rsidRPr="004A03B4">
        <w:rPr>
          <w:rFonts w:ascii="Palatino Linotype" w:hAnsi="Palatino Linotype"/>
          <w:sz w:val="24"/>
          <w:szCs w:val="24"/>
        </w:rPr>
        <w:t>Suetonius: “When he discovered that bachelors were getting betrothed to little girls, which meant postponing the responsibilities of fatherhood, and that married men were frequently changing their wives, he dealt with these evasions of the law by shortening the permissible period between betrothal and marriage and by limiting the number of lawful divorces.”</w:t>
      </w:r>
      <w:r w:rsidRPr="004A03B4">
        <w:rPr>
          <w:rFonts w:ascii="Palatino Linotype" w:hAnsi="Palatino Linotype"/>
          <w:sz w:val="24"/>
          <w:szCs w:val="24"/>
          <w:vertAlign w:val="superscript"/>
        </w:rPr>
        <w:footnoteReference w:id="14"/>
      </w:r>
      <w:r w:rsidRPr="004A03B4">
        <w:rPr>
          <w:rFonts w:ascii="Palatino Linotype" w:hAnsi="Palatino Linotype"/>
          <w:sz w:val="24"/>
          <w:szCs w:val="24"/>
        </w:rPr>
        <w:t xml:space="preserve"> (Suetonius, </w:t>
      </w:r>
      <w:r w:rsidRPr="004A03B4">
        <w:rPr>
          <w:rFonts w:ascii="Palatino Linotype" w:hAnsi="Palatino Linotype"/>
          <w:i/>
          <w:iCs/>
          <w:sz w:val="24"/>
          <w:szCs w:val="24"/>
        </w:rPr>
        <w:t xml:space="preserve">Augustus </w:t>
      </w:r>
      <w:r w:rsidRPr="004A03B4">
        <w:rPr>
          <w:rFonts w:ascii="Palatino Linotype" w:hAnsi="Palatino Linotype"/>
          <w:sz w:val="24"/>
          <w:szCs w:val="24"/>
        </w:rPr>
        <w:t>34)</w:t>
      </w:r>
    </w:p>
    <w:p w14:paraId="7F9A406D" w14:textId="4BEEF9D4" w:rsidR="0080767F" w:rsidRPr="004A03B4" w:rsidRDefault="0080767F" w:rsidP="0080767F">
      <w:pPr>
        <w:pStyle w:val="ListParagraph"/>
        <w:numPr>
          <w:ilvl w:val="0"/>
          <w:numId w:val="19"/>
        </w:numPr>
        <w:rPr>
          <w:rFonts w:ascii="Palatino Linotype" w:hAnsi="Palatino Linotype"/>
          <w:sz w:val="24"/>
          <w:szCs w:val="24"/>
        </w:rPr>
      </w:pPr>
      <w:r>
        <w:rPr>
          <w:rFonts w:ascii="Palatino Linotype" w:hAnsi="Palatino Linotype"/>
          <w:sz w:val="24"/>
          <w:szCs w:val="24"/>
        </w:rPr>
        <w:t xml:space="preserve">Cassius Dio: </w:t>
      </w:r>
      <w:r w:rsidRPr="0080767F">
        <w:rPr>
          <w:rFonts w:ascii="Palatino Linotype" w:hAnsi="Palatino Linotype"/>
          <w:sz w:val="24"/>
          <w:szCs w:val="24"/>
        </w:rPr>
        <w:t xml:space="preserve">“Since the free-born population contained far more males than females, he allowed all those who so desired—with the exception of senators—to marry </w:t>
      </w:r>
      <w:proofErr w:type="gramStart"/>
      <w:r w:rsidRPr="0080767F">
        <w:rPr>
          <w:rFonts w:ascii="Palatino Linotype" w:hAnsi="Palatino Linotype"/>
          <w:sz w:val="24"/>
          <w:szCs w:val="24"/>
        </w:rPr>
        <w:t>freedwomen, and</w:t>
      </w:r>
      <w:proofErr w:type="gramEnd"/>
      <w:r w:rsidRPr="0080767F">
        <w:rPr>
          <w:rFonts w:ascii="Palatino Linotype" w:hAnsi="Palatino Linotype"/>
          <w:sz w:val="24"/>
          <w:szCs w:val="24"/>
        </w:rPr>
        <w:t xml:space="preserve"> directed that their offspring should be regarded as legitimate. … At this time, too, some men were becoming betrothed to infant girls …Augustus made an order that no betrothal should be valid unless the man </w:t>
      </w:r>
      <w:r w:rsidRPr="0080767F">
        <w:rPr>
          <w:rFonts w:ascii="Palatino Linotype" w:hAnsi="Palatino Linotype"/>
          <w:sz w:val="24"/>
          <w:szCs w:val="24"/>
        </w:rPr>
        <w:lastRenderedPageBreak/>
        <w:t>married within two years of giving his word. In other words, the girl must be at least ten years old at the time of the betrothal.”</w:t>
      </w:r>
      <w:r w:rsidRPr="0080767F">
        <w:rPr>
          <w:rFonts w:ascii="Palatino Linotype" w:hAnsi="Palatino Linotype"/>
          <w:sz w:val="24"/>
          <w:szCs w:val="24"/>
          <w:vertAlign w:val="superscript"/>
        </w:rPr>
        <w:footnoteReference w:id="15"/>
      </w:r>
      <w:r w:rsidRPr="0080767F">
        <w:rPr>
          <w:rFonts w:ascii="Palatino Linotype" w:hAnsi="Palatino Linotype"/>
          <w:sz w:val="24"/>
          <w:szCs w:val="24"/>
        </w:rPr>
        <w:t xml:space="preserve"> (Cassius Dio, </w:t>
      </w:r>
      <w:r w:rsidRPr="0080767F">
        <w:rPr>
          <w:rFonts w:ascii="Palatino Linotype" w:hAnsi="Palatino Linotype"/>
          <w:i/>
          <w:iCs/>
          <w:sz w:val="24"/>
          <w:szCs w:val="24"/>
        </w:rPr>
        <w:t xml:space="preserve">The Roman History </w:t>
      </w:r>
      <w:r w:rsidRPr="0080767F">
        <w:rPr>
          <w:rFonts w:ascii="Palatino Linotype" w:hAnsi="Palatino Linotype"/>
          <w:sz w:val="24"/>
          <w:szCs w:val="24"/>
        </w:rPr>
        <w:t>54.16)</w:t>
      </w:r>
    </w:p>
    <w:p w14:paraId="3C809980" w14:textId="01C57DAF" w:rsidR="004A03B4" w:rsidRDefault="00721E65" w:rsidP="00CA3467">
      <w:pPr>
        <w:rPr>
          <w:rFonts w:ascii="Palatino Linotype" w:hAnsi="Palatino Linotype"/>
          <w:sz w:val="24"/>
          <w:szCs w:val="24"/>
        </w:rPr>
      </w:pPr>
      <w:r>
        <w:rPr>
          <w:rFonts w:ascii="Palatino Linotype" w:hAnsi="Palatino Linotype"/>
          <w:sz w:val="24"/>
          <w:szCs w:val="24"/>
        </w:rPr>
        <w:t>The New Roman Woman</w:t>
      </w:r>
    </w:p>
    <w:p w14:paraId="6368EABC" w14:textId="6DD78405" w:rsidR="00721E65" w:rsidRPr="00721E65" w:rsidRDefault="00721E65" w:rsidP="00721E65">
      <w:pPr>
        <w:pStyle w:val="ListParagraph"/>
        <w:numPr>
          <w:ilvl w:val="0"/>
          <w:numId w:val="19"/>
        </w:numPr>
        <w:rPr>
          <w:rFonts w:ascii="Palatino Linotype" w:hAnsi="Palatino Linotype"/>
          <w:sz w:val="24"/>
          <w:szCs w:val="24"/>
        </w:rPr>
      </w:pPr>
      <w:r w:rsidRPr="00721E65">
        <w:rPr>
          <w:rFonts w:ascii="Palatino Linotype" w:hAnsi="Palatino Linotype"/>
          <w:sz w:val="24"/>
          <w:szCs w:val="24"/>
        </w:rPr>
        <w:t xml:space="preserve">Bruce Winter: “Ancient historians have observed that around 44 </w:t>
      </w:r>
      <w:proofErr w:type="spellStart"/>
      <w:r w:rsidRPr="00721E65">
        <w:rPr>
          <w:rFonts w:ascii="Palatino Linotype" w:hAnsi="Palatino Linotype"/>
          <w:sz w:val="24"/>
          <w:szCs w:val="24"/>
        </w:rPr>
        <w:t>b.c.</w:t>
      </w:r>
      <w:proofErr w:type="spellEnd"/>
      <w:r w:rsidRPr="00721E65">
        <w:rPr>
          <w:rFonts w:ascii="Palatino Linotype" w:hAnsi="Palatino Linotype"/>
          <w:sz w:val="24"/>
          <w:szCs w:val="24"/>
        </w:rPr>
        <w:t xml:space="preserve"> evidence of a ‘new’ type of woman emerged in certain circles in Rome…a woman in high position, who nevertheless claims for herself the indulgence in sexuality of a woman of pleasure.” … [F]</w:t>
      </w:r>
      <w:proofErr w:type="spellStart"/>
      <w:r w:rsidRPr="00721E65">
        <w:rPr>
          <w:rFonts w:ascii="Palatino Linotype" w:hAnsi="Palatino Linotype"/>
          <w:sz w:val="24"/>
          <w:szCs w:val="24"/>
        </w:rPr>
        <w:t>irst</w:t>
      </w:r>
      <w:proofErr w:type="spellEnd"/>
      <w:r w:rsidRPr="00721E65">
        <w:rPr>
          <w:rFonts w:ascii="Palatino Linotype" w:hAnsi="Palatino Linotype"/>
          <w:sz w:val="24"/>
          <w:szCs w:val="24"/>
        </w:rPr>
        <w:t>-century women, unlike their Greek sisters in Hellenistic and Classical Greek times, appeared in the public domain. The imperial wives appear to have set a precedent for wives of senatorial rank and others in the social hierarchy. …’[N]</w:t>
      </w:r>
      <w:proofErr w:type="spellStart"/>
      <w:r w:rsidRPr="00721E65">
        <w:rPr>
          <w:rFonts w:ascii="Palatino Linotype" w:hAnsi="Palatino Linotype"/>
          <w:sz w:val="24"/>
          <w:szCs w:val="24"/>
        </w:rPr>
        <w:t>ew</w:t>
      </w:r>
      <w:proofErr w:type="spellEnd"/>
      <w:r w:rsidRPr="00721E65">
        <w:rPr>
          <w:rFonts w:ascii="Palatino Linotype" w:hAnsi="Palatino Linotype"/>
          <w:sz w:val="24"/>
          <w:szCs w:val="24"/>
        </w:rPr>
        <w:t xml:space="preserve">’ women had emerged and they were supported by those who were themselves </w:t>
      </w:r>
      <w:r w:rsidRPr="00721E65">
        <w:rPr>
          <w:rFonts w:ascii="Palatino Linotype" w:hAnsi="Palatino Linotype"/>
          <w:i/>
          <w:iCs/>
          <w:sz w:val="24"/>
          <w:szCs w:val="24"/>
        </w:rPr>
        <w:t>avant-garde</w:t>
      </w:r>
      <w:r w:rsidRPr="00721E65">
        <w:rPr>
          <w:rFonts w:ascii="Palatino Linotype" w:hAnsi="Palatino Linotype"/>
          <w:sz w:val="24"/>
          <w:szCs w:val="24"/>
        </w:rPr>
        <w:t xml:space="preserve">, including some male literary figures of the early Roman Empire who were influential in promoting this lifestyle. These ‘new’ women had an unsettling influence on the </w:t>
      </w:r>
      <w:r w:rsidRPr="00721E65">
        <w:rPr>
          <w:rFonts w:ascii="Palatino Linotype" w:hAnsi="Palatino Linotype"/>
          <w:i/>
          <w:iCs/>
          <w:sz w:val="24"/>
          <w:szCs w:val="24"/>
        </w:rPr>
        <w:t>status quo</w:t>
      </w:r>
      <w:r w:rsidRPr="00721E65">
        <w:rPr>
          <w:rFonts w:ascii="Palatino Linotype" w:hAnsi="Palatino Linotype"/>
          <w:sz w:val="24"/>
          <w:szCs w:val="24"/>
        </w:rPr>
        <w:t xml:space="preserve">.” </w:t>
      </w:r>
      <w:r w:rsidRPr="00721E65">
        <w:rPr>
          <w:rFonts w:ascii="Palatino Linotype" w:hAnsi="Palatino Linotype"/>
          <w:sz w:val="24"/>
          <w:szCs w:val="24"/>
          <w:vertAlign w:val="superscript"/>
        </w:rPr>
        <w:footnoteReference w:id="16"/>
      </w:r>
    </w:p>
    <w:p w14:paraId="4B021459" w14:textId="44954F44" w:rsidR="00721E65" w:rsidRPr="00721E65" w:rsidRDefault="00721E65" w:rsidP="00721E65">
      <w:pPr>
        <w:pStyle w:val="ListParagraph"/>
        <w:numPr>
          <w:ilvl w:val="0"/>
          <w:numId w:val="19"/>
        </w:numPr>
        <w:rPr>
          <w:rFonts w:ascii="Palatino Linotype" w:hAnsi="Palatino Linotype"/>
          <w:sz w:val="24"/>
          <w:szCs w:val="24"/>
        </w:rPr>
      </w:pPr>
      <w:r w:rsidRPr="00721E65">
        <w:rPr>
          <w:rFonts w:ascii="Palatino Linotype" w:hAnsi="Palatino Linotype"/>
          <w:sz w:val="24"/>
          <w:szCs w:val="24"/>
        </w:rPr>
        <w:t>Martial: “The way you’re marrying your toy-boy, and making your former adulterer your husband, so the Julian Law can’t make an example of you—</w:t>
      </w:r>
      <w:proofErr w:type="spellStart"/>
      <w:r w:rsidRPr="00721E65">
        <w:rPr>
          <w:rFonts w:ascii="Palatino Linotype" w:hAnsi="Palatino Linotype"/>
          <w:sz w:val="24"/>
          <w:szCs w:val="24"/>
        </w:rPr>
        <w:t>Proculina</w:t>
      </w:r>
      <w:proofErr w:type="spellEnd"/>
      <w:r w:rsidRPr="00721E65">
        <w:rPr>
          <w:rFonts w:ascii="Palatino Linotype" w:hAnsi="Palatino Linotype"/>
          <w:sz w:val="24"/>
          <w:szCs w:val="24"/>
        </w:rPr>
        <w:t>, you’re not getting married; you’re signing your confession.”</w:t>
      </w:r>
      <w:r w:rsidRPr="00721E65">
        <w:rPr>
          <w:rFonts w:ascii="Palatino Linotype" w:hAnsi="Palatino Linotype"/>
          <w:sz w:val="24"/>
          <w:szCs w:val="24"/>
          <w:vertAlign w:val="superscript"/>
        </w:rPr>
        <w:footnoteReference w:id="17"/>
      </w:r>
      <w:r w:rsidRPr="00721E65">
        <w:rPr>
          <w:rFonts w:ascii="Palatino Linotype" w:hAnsi="Palatino Linotype"/>
          <w:sz w:val="24"/>
          <w:szCs w:val="24"/>
        </w:rPr>
        <w:t xml:space="preserve"> (Martial, </w:t>
      </w:r>
      <w:r w:rsidRPr="00721E65">
        <w:rPr>
          <w:rFonts w:ascii="Palatino Linotype" w:hAnsi="Palatino Linotype"/>
          <w:i/>
          <w:iCs/>
          <w:sz w:val="24"/>
          <w:szCs w:val="24"/>
        </w:rPr>
        <w:t xml:space="preserve">Epigrams </w:t>
      </w:r>
      <w:r w:rsidRPr="00721E65">
        <w:rPr>
          <w:rFonts w:ascii="Palatino Linotype" w:hAnsi="Palatino Linotype"/>
          <w:sz w:val="24"/>
          <w:szCs w:val="24"/>
        </w:rPr>
        <w:t>6.22)</w:t>
      </w:r>
    </w:p>
    <w:p w14:paraId="29D3834F" w14:textId="2F0EC4F6" w:rsidR="00721E65" w:rsidRPr="00721E65" w:rsidRDefault="00721E65" w:rsidP="00721E65">
      <w:pPr>
        <w:pStyle w:val="ListParagraph"/>
        <w:numPr>
          <w:ilvl w:val="0"/>
          <w:numId w:val="19"/>
        </w:numPr>
        <w:rPr>
          <w:rFonts w:ascii="Palatino Linotype" w:hAnsi="Palatino Linotype"/>
          <w:sz w:val="24"/>
          <w:szCs w:val="24"/>
        </w:rPr>
      </w:pPr>
      <w:r w:rsidRPr="00721E65">
        <w:rPr>
          <w:rFonts w:ascii="Palatino Linotype" w:hAnsi="Palatino Linotype"/>
          <w:sz w:val="24"/>
          <w:szCs w:val="24"/>
        </w:rPr>
        <w:t xml:space="preserve">Seneca the Younger: “Surely no woman is embarrassed by divorce anymore, now that certain famous and highborn ladies keep track of the years not by counting consuls but by counting husbands; they leave home to get married but get married to get divorced. Divorce was feared only as long as it was unusual. But it is </w:t>
      </w:r>
      <w:proofErr w:type="gramStart"/>
      <w:r w:rsidRPr="00721E65">
        <w:rPr>
          <w:rFonts w:ascii="Palatino Linotype" w:hAnsi="Palatino Linotype"/>
          <w:sz w:val="24"/>
          <w:szCs w:val="24"/>
        </w:rPr>
        <w:t>in</w:t>
      </w:r>
      <w:proofErr w:type="gramEnd"/>
      <w:r w:rsidRPr="00721E65">
        <w:rPr>
          <w:rFonts w:ascii="Palatino Linotype" w:hAnsi="Palatino Linotype"/>
          <w:sz w:val="24"/>
          <w:szCs w:val="24"/>
        </w:rPr>
        <w:t xml:space="preserve"> the news all the time now; </w:t>
      </w:r>
      <w:proofErr w:type="gramStart"/>
      <w:r w:rsidRPr="00721E65">
        <w:rPr>
          <w:rFonts w:ascii="Palatino Linotype" w:hAnsi="Palatino Linotype"/>
          <w:sz w:val="24"/>
          <w:szCs w:val="24"/>
        </w:rPr>
        <w:t>so</w:t>
      </w:r>
      <w:proofErr w:type="gramEnd"/>
      <w:r w:rsidRPr="00721E65">
        <w:rPr>
          <w:rFonts w:ascii="Palatino Linotype" w:hAnsi="Palatino Linotype"/>
          <w:sz w:val="24"/>
          <w:szCs w:val="24"/>
        </w:rPr>
        <w:t xml:space="preserve"> they have learned to emulate what they hear about so often. And surely there is no scandal in adultery anymore either, now that we are at the point where a woman only takes a husband to make her lover jealous. … Any woman who does not see that marriage is just a name for having only one lover must be simpleminded and behind the times. The shame for these misdeeds has long since evaporated as the practice has become more widespread.”</w:t>
      </w:r>
      <w:r w:rsidRPr="00721E65">
        <w:rPr>
          <w:rFonts w:ascii="Palatino Linotype" w:hAnsi="Palatino Linotype"/>
          <w:sz w:val="24"/>
          <w:szCs w:val="24"/>
          <w:vertAlign w:val="superscript"/>
        </w:rPr>
        <w:footnoteReference w:id="18"/>
      </w:r>
      <w:r w:rsidRPr="00721E65">
        <w:rPr>
          <w:rFonts w:ascii="Palatino Linotype" w:hAnsi="Palatino Linotype"/>
          <w:sz w:val="24"/>
          <w:szCs w:val="24"/>
        </w:rPr>
        <w:t xml:space="preserve"> (Seneca, </w:t>
      </w:r>
      <w:r w:rsidRPr="00721E65">
        <w:rPr>
          <w:rFonts w:ascii="Palatino Linotype" w:hAnsi="Palatino Linotype"/>
          <w:i/>
          <w:iCs/>
          <w:sz w:val="24"/>
          <w:szCs w:val="24"/>
        </w:rPr>
        <w:t xml:space="preserve">Benefits </w:t>
      </w:r>
      <w:r w:rsidRPr="00721E65">
        <w:rPr>
          <w:rFonts w:ascii="Palatino Linotype" w:hAnsi="Palatino Linotype"/>
          <w:sz w:val="24"/>
          <w:szCs w:val="24"/>
        </w:rPr>
        <w:t>3.16.2-4)</w:t>
      </w:r>
    </w:p>
    <w:p w14:paraId="311B4088" w14:textId="2C49C1EC" w:rsidR="00721E65" w:rsidRDefault="00721E65" w:rsidP="00721E65">
      <w:pPr>
        <w:rPr>
          <w:rFonts w:ascii="Palatino Linotype" w:hAnsi="Palatino Linotype"/>
          <w:sz w:val="24"/>
          <w:szCs w:val="24"/>
        </w:rPr>
      </w:pPr>
    </w:p>
    <w:p w14:paraId="231DF633" w14:textId="6B94FE5A" w:rsidR="00721E65" w:rsidRDefault="00721E65" w:rsidP="00721E65">
      <w:pPr>
        <w:rPr>
          <w:rFonts w:ascii="Palatino Linotype" w:hAnsi="Palatino Linotype"/>
          <w:sz w:val="24"/>
          <w:szCs w:val="24"/>
        </w:rPr>
      </w:pPr>
      <w:r>
        <w:rPr>
          <w:rFonts w:ascii="Palatino Linotype" w:hAnsi="Palatino Linotype"/>
          <w:sz w:val="24"/>
          <w:szCs w:val="24"/>
        </w:rPr>
        <w:t>1 Corinthians 7:3-6</w:t>
      </w:r>
    </w:p>
    <w:p w14:paraId="60778DBC" w14:textId="4901F960" w:rsidR="003D2C1E" w:rsidRDefault="003D2C1E" w:rsidP="003D2C1E">
      <w:pPr>
        <w:pStyle w:val="ListParagraph"/>
        <w:numPr>
          <w:ilvl w:val="0"/>
          <w:numId w:val="19"/>
        </w:numPr>
        <w:rPr>
          <w:rFonts w:ascii="Palatino Linotype" w:hAnsi="Palatino Linotype"/>
          <w:sz w:val="24"/>
          <w:szCs w:val="24"/>
        </w:rPr>
      </w:pPr>
      <w:r>
        <w:rPr>
          <w:rFonts w:ascii="Palatino Linotype" w:hAnsi="Palatino Linotype"/>
          <w:sz w:val="24"/>
          <w:szCs w:val="24"/>
        </w:rPr>
        <w:t>Sex for Christians is about mutuality. The wife is faithful to her husband and the husband is faithful to his wife. The husband has authority over his wife’s body and the wife has authority over her husband’s body. Such vulnerability requires trust.</w:t>
      </w:r>
    </w:p>
    <w:p w14:paraId="1075A734" w14:textId="5BCFE326" w:rsidR="003D2C1E" w:rsidRDefault="003D2C1E" w:rsidP="003D2C1E">
      <w:pPr>
        <w:pStyle w:val="ListParagraph"/>
        <w:numPr>
          <w:ilvl w:val="0"/>
          <w:numId w:val="19"/>
        </w:numPr>
        <w:rPr>
          <w:rFonts w:ascii="Palatino Linotype" w:hAnsi="Palatino Linotype"/>
          <w:sz w:val="24"/>
          <w:szCs w:val="24"/>
        </w:rPr>
      </w:pPr>
      <w:r w:rsidRPr="003D2C1E">
        <w:rPr>
          <w:rFonts w:ascii="Palatino Linotype" w:hAnsi="Palatino Linotype"/>
          <w:sz w:val="24"/>
          <w:szCs w:val="24"/>
        </w:rPr>
        <w:t xml:space="preserve">Nancy Pearcey: "In this historical context, the Christian view of marriage was nothing short of revolutionary. At its core was a new form of sexual equality. To the shock of the ancient world, both sexes were held to the same moral standard. Christianity condemned promiscuity among men as well as women. It stood out as radically different because it taught that a husband </w:t>
      </w:r>
      <w:proofErr w:type="gramStart"/>
      <w:r w:rsidRPr="003D2C1E">
        <w:rPr>
          <w:rFonts w:ascii="Palatino Linotype" w:hAnsi="Palatino Linotype"/>
          <w:sz w:val="24"/>
          <w:szCs w:val="24"/>
        </w:rPr>
        <w:t xml:space="preserve">actually </w:t>
      </w:r>
      <w:r w:rsidRPr="003D2C1E">
        <w:rPr>
          <w:rFonts w:ascii="Palatino Linotype" w:hAnsi="Palatino Linotype"/>
          <w:i/>
          <w:iCs/>
          <w:sz w:val="24"/>
          <w:szCs w:val="24"/>
        </w:rPr>
        <w:t>wrongs</w:t>
      </w:r>
      <w:proofErr w:type="gramEnd"/>
      <w:r w:rsidRPr="003D2C1E">
        <w:rPr>
          <w:rFonts w:ascii="Palatino Linotype" w:hAnsi="Palatino Linotype"/>
          <w:sz w:val="24"/>
          <w:szCs w:val="24"/>
        </w:rPr>
        <w:t xml:space="preserve"> his wife by committing adultery. Jesus said, "Anyone who divorces his wife and marries another woman commits adultery against her" (Mark 10:11). Such </w:t>
      </w:r>
      <w:r w:rsidR="00E06CC7" w:rsidRPr="003D2C1E">
        <w:rPr>
          <w:rFonts w:ascii="Palatino Linotype" w:hAnsi="Palatino Linotype"/>
          <w:sz w:val="24"/>
          <w:szCs w:val="24"/>
        </w:rPr>
        <w:t>even-handed</w:t>
      </w:r>
      <w:r w:rsidRPr="003D2C1E">
        <w:rPr>
          <w:rFonts w:ascii="Palatino Linotype" w:hAnsi="Palatino Linotype"/>
          <w:sz w:val="24"/>
          <w:szCs w:val="24"/>
        </w:rPr>
        <w:t xml:space="preserve"> treatment was genuinely novel."</w:t>
      </w:r>
      <w:r w:rsidRPr="003D2C1E">
        <w:rPr>
          <w:rFonts w:ascii="Palatino Linotype" w:hAnsi="Palatino Linotype"/>
          <w:sz w:val="24"/>
          <w:szCs w:val="24"/>
          <w:vertAlign w:val="superscript"/>
        </w:rPr>
        <w:footnoteReference w:id="19"/>
      </w:r>
    </w:p>
    <w:p w14:paraId="6BF86938" w14:textId="38D8C2C9" w:rsidR="003D2C1E" w:rsidRDefault="008B6351" w:rsidP="003D2C1E">
      <w:pPr>
        <w:pStyle w:val="ListParagraph"/>
        <w:numPr>
          <w:ilvl w:val="0"/>
          <w:numId w:val="19"/>
        </w:numPr>
        <w:rPr>
          <w:rFonts w:ascii="Palatino Linotype" w:hAnsi="Palatino Linotype"/>
          <w:sz w:val="24"/>
          <w:szCs w:val="24"/>
        </w:rPr>
      </w:pPr>
      <w:r>
        <w:rPr>
          <w:rFonts w:ascii="Palatino Linotype" w:hAnsi="Palatino Linotype"/>
          <w:sz w:val="24"/>
          <w:szCs w:val="24"/>
        </w:rPr>
        <w:t xml:space="preserve">Unlike the new woman of Roman society or the sexual revolution of the 1960s, Christian marriage </w:t>
      </w:r>
      <w:r w:rsidR="00297BB8">
        <w:rPr>
          <w:rFonts w:ascii="Palatino Linotype" w:hAnsi="Palatino Linotype"/>
          <w:sz w:val="24"/>
          <w:szCs w:val="24"/>
        </w:rPr>
        <w:t>limits extramarital sex for both spouses.</w:t>
      </w:r>
      <w:r w:rsidR="00765C59">
        <w:rPr>
          <w:rFonts w:ascii="Palatino Linotype" w:hAnsi="Palatino Linotype"/>
          <w:sz w:val="24"/>
          <w:szCs w:val="24"/>
        </w:rPr>
        <w:t xml:space="preserve"> Domestic abuse is particularly sinful and heinous because it violates the mutuality and trust necessary for a healthy Christian marriage.</w:t>
      </w:r>
    </w:p>
    <w:p w14:paraId="7F3CD90C" w14:textId="455D4EF0" w:rsidR="0072166B" w:rsidRDefault="0072166B" w:rsidP="0072166B">
      <w:pPr>
        <w:rPr>
          <w:rFonts w:ascii="Palatino Linotype" w:hAnsi="Palatino Linotype"/>
          <w:sz w:val="24"/>
          <w:szCs w:val="24"/>
        </w:rPr>
      </w:pPr>
      <w:r>
        <w:rPr>
          <w:rFonts w:ascii="Palatino Linotype" w:hAnsi="Palatino Linotype"/>
          <w:sz w:val="24"/>
          <w:szCs w:val="24"/>
        </w:rPr>
        <w:t>1 Corinthians 7:7-11</w:t>
      </w:r>
    </w:p>
    <w:p w14:paraId="477C9422" w14:textId="6B5EF740" w:rsidR="0072166B" w:rsidRDefault="0072166B" w:rsidP="0072166B">
      <w:pPr>
        <w:pStyle w:val="ListParagraph"/>
        <w:numPr>
          <w:ilvl w:val="0"/>
          <w:numId w:val="19"/>
        </w:numPr>
        <w:rPr>
          <w:rFonts w:ascii="Palatino Linotype" w:hAnsi="Palatino Linotype"/>
          <w:sz w:val="24"/>
          <w:szCs w:val="24"/>
        </w:rPr>
      </w:pPr>
      <w:r>
        <w:rPr>
          <w:rFonts w:ascii="Palatino Linotype" w:hAnsi="Palatino Linotype"/>
          <w:sz w:val="24"/>
          <w:szCs w:val="24"/>
        </w:rPr>
        <w:t xml:space="preserve">Paul tells the unmarried and widows to stay </w:t>
      </w:r>
      <w:r w:rsidR="00E06CC7">
        <w:rPr>
          <w:rFonts w:ascii="Palatino Linotype" w:hAnsi="Palatino Linotype"/>
          <w:sz w:val="24"/>
          <w:szCs w:val="24"/>
        </w:rPr>
        <w:t>single,</w:t>
      </w:r>
      <w:r>
        <w:rPr>
          <w:rFonts w:ascii="Palatino Linotype" w:hAnsi="Palatino Linotype"/>
          <w:sz w:val="24"/>
          <w:szCs w:val="24"/>
        </w:rPr>
        <w:t xml:space="preserve"> if possible, but if not to get married. To the separated, he tells them to remain single or be reconciled to their spouses. For this command, he </w:t>
      </w:r>
      <w:proofErr w:type="gramStart"/>
      <w:r>
        <w:rPr>
          <w:rFonts w:ascii="Palatino Linotype" w:hAnsi="Palatino Linotype"/>
          <w:sz w:val="24"/>
          <w:szCs w:val="24"/>
        </w:rPr>
        <w:t>actually cites</w:t>
      </w:r>
      <w:proofErr w:type="gramEnd"/>
      <w:r>
        <w:rPr>
          <w:rFonts w:ascii="Palatino Linotype" w:hAnsi="Palatino Linotype"/>
          <w:sz w:val="24"/>
          <w:szCs w:val="24"/>
        </w:rPr>
        <w:t xml:space="preserve"> Jesus!</w:t>
      </w:r>
    </w:p>
    <w:p w14:paraId="731F356B" w14:textId="490466FA" w:rsidR="00151071" w:rsidRDefault="00151071" w:rsidP="00151071">
      <w:pPr>
        <w:rPr>
          <w:rFonts w:ascii="Palatino Linotype" w:hAnsi="Palatino Linotype"/>
          <w:sz w:val="24"/>
          <w:szCs w:val="24"/>
        </w:rPr>
      </w:pPr>
      <w:r>
        <w:rPr>
          <w:rFonts w:ascii="Palatino Linotype" w:hAnsi="Palatino Linotype"/>
          <w:sz w:val="24"/>
          <w:szCs w:val="24"/>
        </w:rPr>
        <w:t>1 Corinthians 7:12-16</w:t>
      </w:r>
    </w:p>
    <w:p w14:paraId="23E995BB" w14:textId="354039BA" w:rsidR="00151071" w:rsidRDefault="00151071" w:rsidP="00151071">
      <w:pPr>
        <w:pStyle w:val="ListParagraph"/>
        <w:numPr>
          <w:ilvl w:val="0"/>
          <w:numId w:val="19"/>
        </w:numPr>
        <w:rPr>
          <w:rFonts w:ascii="Palatino Linotype" w:hAnsi="Palatino Linotype"/>
          <w:sz w:val="24"/>
          <w:szCs w:val="24"/>
        </w:rPr>
      </w:pPr>
      <w:r>
        <w:rPr>
          <w:rFonts w:ascii="Palatino Linotype" w:hAnsi="Palatino Linotype"/>
          <w:sz w:val="24"/>
          <w:szCs w:val="24"/>
        </w:rPr>
        <w:t>Now we encounter the new scenario of a mixed marriage between a Christian and a pagan. In such cases</w:t>
      </w:r>
      <w:r w:rsidR="00E06CC7">
        <w:rPr>
          <w:rFonts w:ascii="Palatino Linotype" w:hAnsi="Palatino Linotype"/>
          <w:sz w:val="24"/>
          <w:szCs w:val="24"/>
        </w:rPr>
        <w:t>,</w:t>
      </w:r>
      <w:r>
        <w:rPr>
          <w:rFonts w:ascii="Palatino Linotype" w:hAnsi="Palatino Linotype"/>
          <w:sz w:val="24"/>
          <w:szCs w:val="24"/>
        </w:rPr>
        <w:t xml:space="preserve"> Paul tells the Christian to stay in it if possible.</w:t>
      </w:r>
    </w:p>
    <w:p w14:paraId="576629C5" w14:textId="6FACA7B4" w:rsidR="00151071" w:rsidRDefault="00151071" w:rsidP="00151071">
      <w:pPr>
        <w:pStyle w:val="ListParagraph"/>
        <w:numPr>
          <w:ilvl w:val="0"/>
          <w:numId w:val="19"/>
        </w:numPr>
        <w:rPr>
          <w:rFonts w:ascii="Palatino Linotype" w:hAnsi="Palatino Linotype"/>
          <w:sz w:val="24"/>
          <w:szCs w:val="24"/>
        </w:rPr>
      </w:pPr>
      <w:r>
        <w:rPr>
          <w:rFonts w:ascii="Palatino Linotype" w:hAnsi="Palatino Linotype"/>
          <w:sz w:val="24"/>
          <w:szCs w:val="24"/>
        </w:rPr>
        <w:t xml:space="preserve">Household gods were a regular aspect of home piety for which the wife was responsible. Vesta, </w:t>
      </w:r>
      <w:proofErr w:type="spellStart"/>
      <w:r>
        <w:rPr>
          <w:rFonts w:ascii="Palatino Linotype" w:hAnsi="Palatino Linotype"/>
          <w:sz w:val="24"/>
          <w:szCs w:val="24"/>
        </w:rPr>
        <w:t>lares</w:t>
      </w:r>
      <w:proofErr w:type="spellEnd"/>
      <w:r>
        <w:rPr>
          <w:rFonts w:ascii="Palatino Linotype" w:hAnsi="Palatino Linotype"/>
          <w:sz w:val="24"/>
          <w:szCs w:val="24"/>
        </w:rPr>
        <w:t>, penates, the family genius, deceased ancestors, and other more popular gods were part of the house.</w:t>
      </w:r>
    </w:p>
    <w:p w14:paraId="148F3C9F" w14:textId="70348E18" w:rsidR="00F562D5" w:rsidRPr="00B17D70" w:rsidRDefault="00F562D5" w:rsidP="005A5619">
      <w:pPr>
        <w:contextualSpacing/>
        <w:rPr>
          <w:rFonts w:ascii="Palatino Linotype" w:hAnsi="Palatino Linotype"/>
          <w:sz w:val="24"/>
          <w:szCs w:val="24"/>
        </w:rPr>
      </w:pPr>
      <w:r w:rsidRPr="00B17D70">
        <w:rPr>
          <w:rFonts w:ascii="Palatino Linotype" w:hAnsi="Palatino Linotype"/>
          <w:sz w:val="24"/>
          <w:szCs w:val="24"/>
        </w:rPr>
        <w:br w:type="page"/>
      </w:r>
    </w:p>
    <w:p w14:paraId="0D59C90E" w14:textId="114EBC01" w:rsidR="0026169B" w:rsidRPr="005F77F8" w:rsidRDefault="0026169B" w:rsidP="005A5619">
      <w:pPr>
        <w:contextualSpacing/>
        <w:rPr>
          <w:rFonts w:ascii="Palatino Linotype" w:hAnsi="Palatino Linotype"/>
          <w:b/>
          <w:bCs/>
          <w:sz w:val="24"/>
          <w:szCs w:val="24"/>
        </w:rPr>
      </w:pPr>
      <w:r w:rsidRPr="005F77F8">
        <w:rPr>
          <w:rFonts w:ascii="Palatino Linotype" w:hAnsi="Palatino Linotype"/>
          <w:b/>
          <w:bCs/>
          <w:sz w:val="24"/>
          <w:szCs w:val="24"/>
        </w:rPr>
        <w:lastRenderedPageBreak/>
        <w:t>Bibliography</w:t>
      </w:r>
    </w:p>
    <w:p w14:paraId="4B2445DE" w14:textId="77777777" w:rsidR="003D2C1E" w:rsidRPr="003D2C1E" w:rsidRDefault="00CD61F0" w:rsidP="003D2C1E">
      <w:pPr>
        <w:pStyle w:val="EndNoteBibliography"/>
        <w:ind w:left="720" w:hanging="720"/>
      </w:pPr>
      <w:r>
        <w:rPr>
          <w:rFonts w:ascii="Palatino Linotype" w:hAnsi="Palatino Linotype"/>
          <w:sz w:val="24"/>
          <w:szCs w:val="24"/>
        </w:rPr>
        <w:fldChar w:fldCharType="begin"/>
      </w:r>
      <w:r>
        <w:rPr>
          <w:rFonts w:ascii="Palatino Linotype" w:hAnsi="Palatino Linotype"/>
          <w:sz w:val="24"/>
          <w:szCs w:val="24"/>
        </w:rPr>
        <w:instrText xml:space="preserve"> ADDIN EN.REFLIST </w:instrText>
      </w:r>
      <w:r>
        <w:rPr>
          <w:rFonts w:ascii="Palatino Linotype" w:hAnsi="Palatino Linotype"/>
          <w:sz w:val="24"/>
          <w:szCs w:val="24"/>
        </w:rPr>
        <w:fldChar w:fldCharType="separate"/>
      </w:r>
      <w:r w:rsidR="003D2C1E" w:rsidRPr="003D2C1E">
        <w:rPr>
          <w:i/>
        </w:rPr>
        <w:t>The Tebtunis Papyri</w:t>
      </w:r>
      <w:r w:rsidR="003D2C1E" w:rsidRPr="003D2C1E">
        <w:t>. Edited by Arthur Hunt Bernard Grenfell, Gilbart Smyly. Vol. 1. London, England: Oxford University Press, 1902.</w:t>
      </w:r>
    </w:p>
    <w:p w14:paraId="16D36829" w14:textId="77777777" w:rsidR="003D2C1E" w:rsidRPr="003D2C1E" w:rsidRDefault="003D2C1E" w:rsidP="003D2C1E">
      <w:pPr>
        <w:pStyle w:val="EndNoteBibliography"/>
        <w:spacing w:after="0"/>
      </w:pPr>
    </w:p>
    <w:p w14:paraId="5571C68D" w14:textId="77777777" w:rsidR="003D2C1E" w:rsidRPr="003D2C1E" w:rsidRDefault="003D2C1E" w:rsidP="003D2C1E">
      <w:pPr>
        <w:pStyle w:val="EndNoteBibliography"/>
        <w:ind w:left="720" w:hanging="720"/>
      </w:pPr>
      <w:r w:rsidRPr="003D2C1E">
        <w:t xml:space="preserve">Apuleius. </w:t>
      </w:r>
      <w:r w:rsidRPr="003D2C1E">
        <w:rPr>
          <w:i/>
        </w:rPr>
        <w:t>The Golden Ass</w:t>
      </w:r>
      <w:r w:rsidRPr="003D2C1E">
        <w:t>. Translated by E. J. Kenney. London, England: Penguin, 2004.</w:t>
      </w:r>
    </w:p>
    <w:p w14:paraId="54E9116B" w14:textId="77777777" w:rsidR="003D2C1E" w:rsidRPr="003D2C1E" w:rsidRDefault="003D2C1E" w:rsidP="003D2C1E">
      <w:pPr>
        <w:pStyle w:val="EndNoteBibliography"/>
        <w:spacing w:after="0"/>
      </w:pPr>
    </w:p>
    <w:p w14:paraId="380A2AA3" w14:textId="77777777" w:rsidR="003D2C1E" w:rsidRPr="003D2C1E" w:rsidRDefault="003D2C1E" w:rsidP="003D2C1E">
      <w:pPr>
        <w:pStyle w:val="EndNoteBibliography"/>
        <w:ind w:left="720" w:hanging="720"/>
      </w:pPr>
      <w:r w:rsidRPr="003D2C1E">
        <w:t xml:space="preserve">Dio, Cassius. </w:t>
      </w:r>
      <w:r w:rsidRPr="003D2C1E">
        <w:rPr>
          <w:i/>
        </w:rPr>
        <w:t>The Roman History: The Reign of Augustus</w:t>
      </w:r>
      <w:r w:rsidRPr="003D2C1E">
        <w:t xml:space="preserve">. Translated by Ian Scott-Kilvert. </w:t>
      </w:r>
      <w:r w:rsidRPr="003D2C1E">
        <w:rPr>
          <w:i/>
        </w:rPr>
        <w:t>Penguin Classics</w:t>
      </w:r>
      <w:r w:rsidRPr="003D2C1E">
        <w:t>. London, England: Penguin, 1987.</w:t>
      </w:r>
    </w:p>
    <w:p w14:paraId="55DEBE3E" w14:textId="77777777" w:rsidR="003D2C1E" w:rsidRPr="003D2C1E" w:rsidRDefault="003D2C1E" w:rsidP="003D2C1E">
      <w:pPr>
        <w:pStyle w:val="EndNoteBibliography"/>
        <w:spacing w:after="0"/>
      </w:pPr>
    </w:p>
    <w:p w14:paraId="5BC981E7" w14:textId="77777777" w:rsidR="003D2C1E" w:rsidRPr="003D2C1E" w:rsidRDefault="003D2C1E" w:rsidP="003D2C1E">
      <w:pPr>
        <w:pStyle w:val="EndNoteBibliography"/>
        <w:ind w:left="720" w:hanging="720"/>
      </w:pPr>
      <w:r w:rsidRPr="003D2C1E">
        <w:t xml:space="preserve">Hubbard, Moyer V. </w:t>
      </w:r>
      <w:r w:rsidRPr="003D2C1E">
        <w:rPr>
          <w:i/>
        </w:rPr>
        <w:t>Christianity in the Greco-Roman World</w:t>
      </w:r>
      <w:r w:rsidRPr="003D2C1E">
        <w:t>. Grand Rapids, MI: Baker Academic, 2010.</w:t>
      </w:r>
    </w:p>
    <w:p w14:paraId="1F8A79DA" w14:textId="77777777" w:rsidR="003D2C1E" w:rsidRPr="003D2C1E" w:rsidRDefault="003D2C1E" w:rsidP="003D2C1E">
      <w:pPr>
        <w:pStyle w:val="EndNoteBibliography"/>
        <w:spacing w:after="0"/>
      </w:pPr>
    </w:p>
    <w:p w14:paraId="5BB9BD2E" w14:textId="77777777" w:rsidR="003D2C1E" w:rsidRPr="003D2C1E" w:rsidRDefault="003D2C1E" w:rsidP="003D2C1E">
      <w:pPr>
        <w:pStyle w:val="EndNoteBibliography"/>
        <w:ind w:left="720" w:hanging="720"/>
      </w:pPr>
      <w:r w:rsidRPr="003D2C1E">
        <w:t xml:space="preserve">Johnson, Marguerite. </w:t>
      </w:r>
      <w:r w:rsidRPr="003D2C1E">
        <w:rPr>
          <w:i/>
        </w:rPr>
        <w:t>Sexuality in Greek and Roman Society and Literature: A Sourcebook</w:t>
      </w:r>
      <w:r w:rsidRPr="003D2C1E">
        <w:t>. 2nd ed. New York, NY: Routledge, 2022.</w:t>
      </w:r>
    </w:p>
    <w:p w14:paraId="09EB865C" w14:textId="77777777" w:rsidR="003D2C1E" w:rsidRPr="003D2C1E" w:rsidRDefault="003D2C1E" w:rsidP="003D2C1E">
      <w:pPr>
        <w:pStyle w:val="EndNoteBibliography"/>
        <w:spacing w:after="0"/>
      </w:pPr>
    </w:p>
    <w:p w14:paraId="0A946E43" w14:textId="77777777" w:rsidR="003D2C1E" w:rsidRPr="003D2C1E" w:rsidRDefault="003D2C1E" w:rsidP="003D2C1E">
      <w:pPr>
        <w:pStyle w:val="EndNoteBibliography"/>
        <w:ind w:left="720" w:hanging="720"/>
      </w:pPr>
      <w:r w:rsidRPr="003D2C1E">
        <w:t xml:space="preserve">Juvenal. </w:t>
      </w:r>
      <w:r w:rsidRPr="003D2C1E">
        <w:rPr>
          <w:i/>
        </w:rPr>
        <w:t>The Sixteen Satires</w:t>
      </w:r>
      <w:r w:rsidRPr="003D2C1E">
        <w:t>. Translated by Peter Green. 3rd ed. London, England: Penguin, 2004.</w:t>
      </w:r>
    </w:p>
    <w:p w14:paraId="47CFEF83" w14:textId="77777777" w:rsidR="003D2C1E" w:rsidRPr="003D2C1E" w:rsidRDefault="003D2C1E" w:rsidP="003D2C1E">
      <w:pPr>
        <w:pStyle w:val="EndNoteBibliography"/>
        <w:spacing w:after="0"/>
      </w:pPr>
    </w:p>
    <w:p w14:paraId="33363B4E" w14:textId="77777777" w:rsidR="003D2C1E" w:rsidRPr="003D2C1E" w:rsidRDefault="003D2C1E" w:rsidP="003D2C1E">
      <w:pPr>
        <w:pStyle w:val="EndNoteBibliography"/>
        <w:ind w:left="720" w:hanging="720"/>
      </w:pPr>
      <w:r w:rsidRPr="003D2C1E">
        <w:t xml:space="preserve">Martial. </w:t>
      </w:r>
      <w:r w:rsidRPr="003D2C1E">
        <w:rPr>
          <w:i/>
        </w:rPr>
        <w:t>Epigrams</w:t>
      </w:r>
      <w:r w:rsidRPr="003D2C1E">
        <w:t xml:space="preserve">. Translated by Walter C. A. Ker. Vol. 1. </w:t>
      </w:r>
      <w:r w:rsidRPr="003D2C1E">
        <w:rPr>
          <w:i/>
        </w:rPr>
        <w:t>Loeb Classical Library</w:t>
      </w:r>
      <w:r w:rsidRPr="003D2C1E">
        <w:t>. Cambridge, MA: Harvard University, 1961.</w:t>
      </w:r>
    </w:p>
    <w:p w14:paraId="5BE7C1A8" w14:textId="77777777" w:rsidR="003D2C1E" w:rsidRPr="003D2C1E" w:rsidRDefault="003D2C1E" w:rsidP="003D2C1E">
      <w:pPr>
        <w:pStyle w:val="EndNoteBibliography"/>
        <w:spacing w:after="0"/>
      </w:pPr>
    </w:p>
    <w:p w14:paraId="5F7566C0" w14:textId="77777777" w:rsidR="003D2C1E" w:rsidRPr="003D2C1E" w:rsidRDefault="003D2C1E" w:rsidP="003D2C1E">
      <w:pPr>
        <w:pStyle w:val="EndNoteBibliography"/>
        <w:ind w:left="720" w:hanging="720"/>
      </w:pPr>
      <w:r w:rsidRPr="003D2C1E">
        <w:t xml:space="preserve">Martial. </w:t>
      </w:r>
      <w:r w:rsidRPr="003D2C1E">
        <w:rPr>
          <w:i/>
        </w:rPr>
        <w:t>Epigrams</w:t>
      </w:r>
      <w:r w:rsidRPr="003D2C1E">
        <w:t xml:space="preserve">. Translated by Gideon Nisbet. </w:t>
      </w:r>
      <w:r w:rsidRPr="003D2C1E">
        <w:rPr>
          <w:i/>
        </w:rPr>
        <w:t>Oxford World's Classics</w:t>
      </w:r>
      <w:r w:rsidRPr="003D2C1E">
        <w:t>. Oxford, England: Oxford University, 2015.</w:t>
      </w:r>
    </w:p>
    <w:p w14:paraId="61C17B3B" w14:textId="77777777" w:rsidR="003D2C1E" w:rsidRPr="003D2C1E" w:rsidRDefault="003D2C1E" w:rsidP="003D2C1E">
      <w:pPr>
        <w:pStyle w:val="EndNoteBibliography"/>
        <w:spacing w:after="0"/>
      </w:pPr>
    </w:p>
    <w:p w14:paraId="0A92111A" w14:textId="77777777" w:rsidR="003D2C1E" w:rsidRPr="003D2C1E" w:rsidRDefault="003D2C1E" w:rsidP="003D2C1E">
      <w:pPr>
        <w:pStyle w:val="EndNoteBibliography"/>
        <w:ind w:left="720" w:hanging="720"/>
      </w:pPr>
      <w:r w:rsidRPr="003D2C1E">
        <w:t xml:space="preserve">Pearcey, Nancy. </w:t>
      </w:r>
      <w:r w:rsidRPr="003D2C1E">
        <w:rPr>
          <w:i/>
        </w:rPr>
        <w:t>The Toxic War on Masculinity</w:t>
      </w:r>
      <w:r w:rsidRPr="003D2C1E">
        <w:t>. Grand Rapids, MI: Baker, 2023.</w:t>
      </w:r>
    </w:p>
    <w:p w14:paraId="39657C03" w14:textId="77777777" w:rsidR="003D2C1E" w:rsidRPr="003D2C1E" w:rsidRDefault="003D2C1E" w:rsidP="003D2C1E">
      <w:pPr>
        <w:pStyle w:val="EndNoteBibliography"/>
        <w:spacing w:after="0"/>
      </w:pPr>
    </w:p>
    <w:p w14:paraId="16FA72EB" w14:textId="77777777" w:rsidR="003D2C1E" w:rsidRPr="003D2C1E" w:rsidRDefault="003D2C1E" w:rsidP="003D2C1E">
      <w:pPr>
        <w:pStyle w:val="EndNoteBibliography"/>
        <w:ind w:left="720" w:hanging="720"/>
      </w:pPr>
      <w:r w:rsidRPr="003D2C1E">
        <w:t xml:space="preserve">Plutarch. </w:t>
      </w:r>
      <w:r w:rsidRPr="003D2C1E">
        <w:rPr>
          <w:i/>
        </w:rPr>
        <w:t>Moralia</w:t>
      </w:r>
      <w:r w:rsidRPr="003D2C1E">
        <w:t xml:space="preserve">. Vol. 2. </w:t>
      </w:r>
      <w:r w:rsidRPr="003D2C1E">
        <w:rPr>
          <w:i/>
        </w:rPr>
        <w:t>Loeb Classical Library</w:t>
      </w:r>
      <w:r w:rsidRPr="003D2C1E">
        <w:t>, vol. 222. Cambridge, MA: Harvard University, 1928.</w:t>
      </w:r>
    </w:p>
    <w:p w14:paraId="1949A18C" w14:textId="77777777" w:rsidR="003D2C1E" w:rsidRPr="003D2C1E" w:rsidRDefault="003D2C1E" w:rsidP="003D2C1E">
      <w:pPr>
        <w:pStyle w:val="EndNoteBibliography"/>
        <w:spacing w:after="0"/>
      </w:pPr>
    </w:p>
    <w:p w14:paraId="4D4EE2F9" w14:textId="77777777" w:rsidR="003D2C1E" w:rsidRPr="003D2C1E" w:rsidRDefault="003D2C1E" w:rsidP="003D2C1E">
      <w:pPr>
        <w:pStyle w:val="EndNoteBibliography"/>
        <w:ind w:left="720" w:hanging="720"/>
      </w:pPr>
      <w:r w:rsidRPr="003D2C1E">
        <w:t xml:space="preserve">Rufus, Musonius. </w:t>
      </w:r>
      <w:r w:rsidRPr="003D2C1E">
        <w:rPr>
          <w:i/>
        </w:rPr>
        <w:t>Lectures &amp; Sayings: Revised Edition</w:t>
      </w:r>
      <w:r w:rsidRPr="003D2C1E">
        <w:t>. Edited by William B. Irvine. Translated by Cynthia King. Scotts Valley, CA: CreateSpace, 2011.</w:t>
      </w:r>
    </w:p>
    <w:p w14:paraId="7BDB4ED7" w14:textId="77777777" w:rsidR="003D2C1E" w:rsidRPr="003D2C1E" w:rsidRDefault="003D2C1E" w:rsidP="003D2C1E">
      <w:pPr>
        <w:pStyle w:val="EndNoteBibliography"/>
        <w:spacing w:after="0"/>
      </w:pPr>
    </w:p>
    <w:p w14:paraId="11CE379F" w14:textId="77777777" w:rsidR="003D2C1E" w:rsidRPr="003D2C1E" w:rsidRDefault="003D2C1E" w:rsidP="003D2C1E">
      <w:pPr>
        <w:pStyle w:val="EndNoteBibliography"/>
        <w:ind w:left="720" w:hanging="720"/>
      </w:pPr>
      <w:r w:rsidRPr="003D2C1E">
        <w:t xml:space="preserve">Seneca, Lucius Annaeus. </w:t>
      </w:r>
      <w:r w:rsidRPr="003D2C1E">
        <w:rPr>
          <w:i/>
        </w:rPr>
        <w:t>On Benefits</w:t>
      </w:r>
      <w:r w:rsidRPr="003D2C1E">
        <w:t>. Translated by Miriam Griffin and Brad Inwood. Chicago, IL: University of Chicago, 2011.</w:t>
      </w:r>
    </w:p>
    <w:p w14:paraId="28E5CD6F" w14:textId="77777777" w:rsidR="003D2C1E" w:rsidRPr="003D2C1E" w:rsidRDefault="003D2C1E" w:rsidP="003D2C1E">
      <w:pPr>
        <w:pStyle w:val="EndNoteBibliography"/>
        <w:spacing w:after="0"/>
      </w:pPr>
    </w:p>
    <w:p w14:paraId="0999C4BB" w14:textId="77777777" w:rsidR="003D2C1E" w:rsidRPr="003D2C1E" w:rsidRDefault="003D2C1E" w:rsidP="003D2C1E">
      <w:pPr>
        <w:pStyle w:val="EndNoteBibliography"/>
        <w:ind w:left="720" w:hanging="720"/>
      </w:pPr>
      <w:r w:rsidRPr="003D2C1E">
        <w:t xml:space="preserve">Suetonius. </w:t>
      </w:r>
      <w:r w:rsidRPr="003D2C1E">
        <w:rPr>
          <w:i/>
        </w:rPr>
        <w:t>The Twelve Caesars</w:t>
      </w:r>
      <w:r w:rsidRPr="003D2C1E">
        <w:t>. Translated by Robert Graves. London, England: Penguin, 2007.</w:t>
      </w:r>
    </w:p>
    <w:p w14:paraId="5108D897" w14:textId="77777777" w:rsidR="003D2C1E" w:rsidRPr="003D2C1E" w:rsidRDefault="003D2C1E" w:rsidP="003D2C1E">
      <w:pPr>
        <w:pStyle w:val="EndNoteBibliography"/>
        <w:spacing w:after="0"/>
      </w:pPr>
    </w:p>
    <w:p w14:paraId="4933EB02" w14:textId="77777777" w:rsidR="003D2C1E" w:rsidRPr="003D2C1E" w:rsidRDefault="003D2C1E" w:rsidP="003D2C1E">
      <w:pPr>
        <w:pStyle w:val="EndNoteBibliography"/>
        <w:ind w:left="720" w:hanging="720"/>
      </w:pPr>
      <w:r w:rsidRPr="003D2C1E">
        <w:t xml:space="preserve">Winter, Bruce. </w:t>
      </w:r>
      <w:r w:rsidRPr="003D2C1E">
        <w:rPr>
          <w:i/>
        </w:rPr>
        <w:t>Roman Wives, Roman Widows: The Appearance of New Women and the Pauline Communities</w:t>
      </w:r>
      <w:r w:rsidRPr="003D2C1E">
        <w:t>. Grand Rapids, MI: Eerdmans, 2003.</w:t>
      </w:r>
    </w:p>
    <w:p w14:paraId="0903187E" w14:textId="77777777" w:rsidR="003D2C1E" w:rsidRPr="003D2C1E" w:rsidRDefault="003D2C1E" w:rsidP="003D2C1E">
      <w:pPr>
        <w:pStyle w:val="EndNoteBibliography"/>
      </w:pPr>
    </w:p>
    <w:p w14:paraId="4A5D79C3" w14:textId="67CB9AEB" w:rsidR="00610CC6" w:rsidRPr="005948AF" w:rsidRDefault="00CD61F0" w:rsidP="003D2C1E">
      <w:pPr>
        <w:contextualSpacing/>
        <w:rPr>
          <w:rFonts w:ascii="Palatino Linotype" w:hAnsi="Palatino Linotype"/>
          <w:sz w:val="24"/>
          <w:szCs w:val="24"/>
        </w:rPr>
      </w:pPr>
      <w:r>
        <w:rPr>
          <w:rFonts w:ascii="Palatino Linotype" w:hAnsi="Palatino Linotype"/>
          <w:sz w:val="24"/>
          <w:szCs w:val="24"/>
        </w:rPr>
        <w:fldChar w:fldCharType="end"/>
      </w:r>
    </w:p>
    <w:sectPr w:rsidR="00610CC6" w:rsidRPr="005948A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E3FE4" w14:textId="77777777" w:rsidR="00D87979" w:rsidRDefault="00D87979" w:rsidP="006930AF">
      <w:pPr>
        <w:spacing w:after="0" w:line="240" w:lineRule="auto"/>
      </w:pPr>
      <w:r>
        <w:separator/>
      </w:r>
    </w:p>
  </w:endnote>
  <w:endnote w:type="continuationSeparator" w:id="0">
    <w:p w14:paraId="7930CBB8" w14:textId="77777777" w:rsidR="00D87979" w:rsidRDefault="00D87979" w:rsidP="00693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8520329"/>
      <w:docPartObj>
        <w:docPartGallery w:val="Page Numbers (Bottom of Page)"/>
        <w:docPartUnique/>
      </w:docPartObj>
    </w:sdtPr>
    <w:sdtEndPr>
      <w:rPr>
        <w:noProof/>
      </w:rPr>
    </w:sdtEndPr>
    <w:sdtContent>
      <w:p w14:paraId="1454AFB5" w14:textId="77777777" w:rsidR="006930AF" w:rsidRDefault="006930A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E561E3" w14:textId="77777777" w:rsidR="006930AF" w:rsidRDefault="006930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B3925" w14:textId="77777777" w:rsidR="00D87979" w:rsidRDefault="00D87979" w:rsidP="006930AF">
      <w:pPr>
        <w:spacing w:after="0" w:line="240" w:lineRule="auto"/>
      </w:pPr>
      <w:r>
        <w:separator/>
      </w:r>
    </w:p>
  </w:footnote>
  <w:footnote w:type="continuationSeparator" w:id="0">
    <w:p w14:paraId="2280E472" w14:textId="77777777" w:rsidR="00D87979" w:rsidRDefault="00D87979" w:rsidP="006930AF">
      <w:pPr>
        <w:spacing w:after="0" w:line="240" w:lineRule="auto"/>
      </w:pPr>
      <w:r>
        <w:continuationSeparator/>
      </w:r>
    </w:p>
  </w:footnote>
  <w:footnote w:id="1">
    <w:p w14:paraId="18893EFC" w14:textId="77777777" w:rsidR="00B17D70" w:rsidRDefault="00B17D70" w:rsidP="00B17D70">
      <w:pPr>
        <w:pStyle w:val="FootnoteText"/>
      </w:pPr>
      <w:r>
        <w:rPr>
          <w:rStyle w:val="FootnoteReference"/>
        </w:rPr>
        <w:footnoteRef/>
      </w:r>
      <w:r>
        <w:t xml:space="preserve"> </w:t>
      </w:r>
      <w:r>
        <w:fldChar w:fldCharType="begin"/>
      </w:r>
      <w:r>
        <w:instrText xml:space="preserve"> ADDIN EN.CITE &lt;EndNote&gt;&lt;Cite&gt;&lt;Author&gt;Rufus&lt;/Author&gt;&lt;Year&gt;2011&lt;/Year&gt;&lt;RecNum&gt;512&lt;/RecNum&gt;&lt;Pages&gt;55&lt;/Pages&gt;&lt;DisplayText&gt;Musonius Rufus, &lt;style face="italic"&gt;Lectures &amp;amp; Sayings: Revised Edition&lt;/style&gt;, ed. William B. Irvine, trans. Cynthia King (Scotts Valley, CA: CreateSpace, 2011), 55.&lt;/DisplayText&gt;&lt;record&gt;&lt;rec-number&gt;512&lt;/rec-number&gt;&lt;foreign-keys&gt;&lt;key app="EN" db-id="rvzp5afzc2eppgewzt5x0esos0rsevefr9z5" timestamp="1738552466"&gt;512&lt;/key&gt;&lt;/foreign-keys&gt;&lt;ref-type name="Book"&gt;6&lt;/ref-type&gt;&lt;contributors&gt;&lt;authors&gt;&lt;author&gt;Musonius Rufus&lt;/author&gt;&lt;/authors&gt;&lt;tertiary-authors&gt;&lt;author&gt;William B. Irvine&lt;/author&gt;&lt;/tertiary-authors&gt;&lt;subsidiary-authors&gt;&lt;author&gt;Cynthia King&lt;/author&gt;&lt;/subsidiary-authors&gt;&lt;/contributors&gt;&lt;titles&gt;&lt;title&gt;Lectures &amp;amp; Sayings: Revised Edition&lt;/title&gt;&lt;/titles&gt;&lt;dates&gt;&lt;year&gt;2011&lt;/year&gt;&lt;/dates&gt;&lt;pub-location&gt;Scotts Valley, CA&lt;/pub-location&gt;&lt;publisher&gt;CreateSpace&lt;/publisher&gt;&lt;urls&gt;&lt;/urls&gt;&lt;/record&gt;&lt;/Cite&gt;&lt;/EndNote&gt;</w:instrText>
      </w:r>
      <w:r>
        <w:fldChar w:fldCharType="separate"/>
      </w:r>
      <w:r>
        <w:rPr>
          <w:noProof/>
        </w:rPr>
        <w:t xml:space="preserve">Musonius Rufus, </w:t>
      </w:r>
      <w:r w:rsidRPr="00FB3015">
        <w:rPr>
          <w:i/>
          <w:noProof/>
        </w:rPr>
        <w:t>Lectures &amp; Sayings: Revised Edition</w:t>
      </w:r>
      <w:r>
        <w:rPr>
          <w:noProof/>
        </w:rPr>
        <w:t>, ed. William B. Irvine, trans. Cynthia King (Scotts Valley, CA: CreateSpace, 2011), 55.</w:t>
      </w:r>
      <w:r>
        <w:fldChar w:fldCharType="end"/>
      </w:r>
    </w:p>
  </w:footnote>
  <w:footnote w:id="2">
    <w:p w14:paraId="3C519D06" w14:textId="77777777" w:rsidR="00DA37E9" w:rsidRDefault="00DA37E9" w:rsidP="00DA37E9">
      <w:pPr>
        <w:pStyle w:val="FootnoteText"/>
      </w:pPr>
      <w:r>
        <w:rPr>
          <w:rStyle w:val="FootnoteReference"/>
        </w:rPr>
        <w:footnoteRef/>
      </w:r>
      <w:r>
        <w:t xml:space="preserve"> P. Oxy 744 in </w:t>
      </w:r>
      <w:r>
        <w:fldChar w:fldCharType="begin"/>
      </w:r>
      <w:r>
        <w:instrText xml:space="preserve"> ADDIN EN.CITE &lt;EndNote&gt;&lt;Cite&gt;&lt;Author&gt;Hubbard&lt;/Author&gt;&lt;Year&gt;2010&lt;/Year&gt;&lt;RecNum&gt;488&lt;/RecNum&gt;&lt;Pages&gt;180&lt;/Pages&gt;&lt;DisplayText&gt;Moyer V. Hubbard, &lt;style face="italic"&gt;Christianity in the Greco-Roman World&lt;/style&gt; (Grand Rapids, MI: Baker Academic, 2010), 180.&lt;/DisplayText&gt;&lt;record&gt;&lt;rec-number&gt;488&lt;/rec-number&gt;&lt;foreign-keys&gt;&lt;key app="EN" db-id="rvzp5afzc2eppgewzt5x0esos0rsevefr9z5" timestamp="1737826975"&gt;488&lt;/key&gt;&lt;/foreign-keys&gt;&lt;ref-type name="Book"&gt;6&lt;/ref-type&gt;&lt;contributors&gt;&lt;authors&gt;&lt;author&gt;Moyer V. Hubbard&lt;/author&gt;&lt;/authors&gt;&lt;/contributors&gt;&lt;titles&gt;&lt;title&gt;Christianity in the Greco-Roman World&lt;/title&gt;&lt;/titles&gt;&lt;dates&gt;&lt;year&gt;2010&lt;/year&gt;&lt;/dates&gt;&lt;pub-location&gt;Grand Rapids, MI&lt;/pub-location&gt;&lt;publisher&gt;Baker Academic&lt;/publisher&gt;&lt;urls&gt;&lt;/urls&gt;&lt;/record&gt;&lt;/Cite&gt;&lt;/EndNote&gt;</w:instrText>
      </w:r>
      <w:r>
        <w:fldChar w:fldCharType="separate"/>
      </w:r>
      <w:r>
        <w:rPr>
          <w:noProof/>
        </w:rPr>
        <w:t xml:space="preserve">Moyer V. Hubbard, </w:t>
      </w:r>
      <w:r w:rsidRPr="00A97FE5">
        <w:rPr>
          <w:i/>
          <w:noProof/>
        </w:rPr>
        <w:t>Christianity in the Greco-Roman World</w:t>
      </w:r>
      <w:r>
        <w:rPr>
          <w:noProof/>
        </w:rPr>
        <w:t xml:space="preserve"> (Grand Rapids, MI: Baker Academic, 2010), 180.</w:t>
      </w:r>
      <w:r>
        <w:fldChar w:fldCharType="end"/>
      </w:r>
      <w:r>
        <w:t xml:space="preserve"> The original had “wife,” which I replaced with “sister,” owing to the </w:t>
      </w:r>
      <w:hyperlink r:id="rId1" w:history="1">
        <w:r w:rsidRPr="00A97FE5">
          <w:rPr>
            <w:rStyle w:val="Hyperlink"/>
          </w:rPr>
          <w:t>original Greek</w:t>
        </w:r>
      </w:hyperlink>
      <w:r>
        <w:t>, which reads “</w:t>
      </w:r>
      <w:proofErr w:type="spellStart"/>
      <w:r w:rsidRPr="00A97FE5">
        <w:rPr>
          <w:rFonts w:ascii="Arial" w:hAnsi="Arial" w:cs="Arial"/>
        </w:rPr>
        <w:t>ἀ</w:t>
      </w:r>
      <w:r w:rsidRPr="00A97FE5">
        <w:t>δελφ</w:t>
      </w:r>
      <w:r w:rsidRPr="00A97FE5">
        <w:rPr>
          <w:rFonts w:ascii="Arial" w:hAnsi="Arial" w:cs="Arial"/>
        </w:rPr>
        <w:t>ῇ</w:t>
      </w:r>
      <w:proofErr w:type="spellEnd"/>
      <w:r>
        <w:t>.”</w:t>
      </w:r>
    </w:p>
  </w:footnote>
  <w:footnote w:id="3">
    <w:p w14:paraId="2201B16B" w14:textId="77777777" w:rsidR="00DA37E9" w:rsidRDefault="00DA37E9" w:rsidP="00DA37E9">
      <w:pPr>
        <w:pStyle w:val="FootnoteText"/>
      </w:pPr>
      <w:r>
        <w:rPr>
          <w:rStyle w:val="FootnoteReference"/>
        </w:rPr>
        <w:footnoteRef/>
      </w:r>
      <w:r>
        <w:t xml:space="preserve"> </w:t>
      </w:r>
      <w:r>
        <w:fldChar w:fldCharType="begin"/>
      </w:r>
      <w:r>
        <w:instrText xml:space="preserve"> ADDIN EN.CITE &lt;EndNote&gt;&lt;Cite&gt;&lt;Author&gt;Apuleius&lt;/Author&gt;&lt;Year&gt;2004&lt;/Year&gt;&lt;RecNum&gt;473&lt;/RecNum&gt;&lt;Pages&gt;293&lt;/Pages&gt;&lt;DisplayText&gt;Apuleius, &lt;style face="italic"&gt;The Golden Ass&lt;/style&gt;, trans. E. J. Kenney (London, England: Penguin, 2004), 293.&lt;/DisplayText&gt;&lt;record&gt;&lt;rec-number&gt;473&lt;/rec-number&gt;&lt;foreign-keys&gt;&lt;key app="EN" db-id="rvzp5afzc2eppgewzt5x0esos0rsevefr9z5" timestamp="1736351097"&gt;473&lt;/key&gt;&lt;/foreign-keys&gt;&lt;ref-type name="Book"&gt;6&lt;/ref-type&gt;&lt;contributors&gt;&lt;authors&gt;&lt;author&gt;Apuleius&lt;/author&gt;&lt;/authors&gt;&lt;subsidiary-authors&gt;&lt;author&gt;E. J. Kenney&lt;/author&gt;&lt;/subsidiary-authors&gt;&lt;/contributors&gt;&lt;titles&gt;&lt;title&gt;The Golden Ass&lt;/title&gt;&lt;/titles&gt;&lt;dates&gt;&lt;year&gt;2004&lt;/year&gt;&lt;/dates&gt;&lt;pub-location&gt;London, England&lt;/pub-location&gt;&lt;publisher&gt;Penguin&lt;/publisher&gt;&lt;urls&gt;&lt;/urls&gt;&lt;/record&gt;&lt;/Cite&gt;&lt;/EndNote&gt;</w:instrText>
      </w:r>
      <w:r>
        <w:fldChar w:fldCharType="separate"/>
      </w:r>
      <w:r>
        <w:rPr>
          <w:noProof/>
        </w:rPr>
        <w:t xml:space="preserve">Apuleius, </w:t>
      </w:r>
      <w:r w:rsidRPr="0087266D">
        <w:rPr>
          <w:i/>
          <w:noProof/>
        </w:rPr>
        <w:t>The Golden Ass</w:t>
      </w:r>
      <w:r>
        <w:rPr>
          <w:noProof/>
        </w:rPr>
        <w:t>, trans. E. J. Kenney (London, England: Penguin, 2004), 293.</w:t>
      </w:r>
      <w:r>
        <w:fldChar w:fldCharType="end"/>
      </w:r>
    </w:p>
  </w:footnote>
  <w:footnote w:id="4">
    <w:p w14:paraId="503CA3EE" w14:textId="77777777" w:rsidR="006E362A" w:rsidRDefault="006E362A" w:rsidP="006E362A">
      <w:pPr>
        <w:pStyle w:val="FootnoteText"/>
      </w:pPr>
      <w:r>
        <w:rPr>
          <w:rStyle w:val="FootnoteReference"/>
        </w:rPr>
        <w:footnoteRef/>
      </w:r>
      <w:r>
        <w:t xml:space="preserve"> </w:t>
      </w:r>
      <w:r>
        <w:fldChar w:fldCharType="begin"/>
      </w:r>
      <w:r>
        <w:instrText xml:space="preserve"> ADDIN EN.CITE &lt;EndNote&gt;&lt;Cite&gt;&lt;Author&gt;Plutarch&lt;/Author&gt;&lt;Year&gt;1928&lt;/Year&gt;&lt;RecNum&gt;510&lt;/RecNum&gt;&lt;Pages&gt;317&lt;/Pages&gt;&lt;DisplayText&gt;Plutarch, &lt;style face="italic"&gt;Moralia&lt;/style&gt;, vol. 2, &lt;style face="italic"&gt;Loeb Classical Library&lt;/style&gt;, vol. 222 (Cambridge, MA: Harvard University, 1928), 317.&lt;/DisplayText&gt;&lt;record&gt;&lt;rec-number&gt;510&lt;/rec-number&gt;&lt;foreign-keys&gt;&lt;key app="EN" db-id="rvzp5afzc2eppgewzt5x0esos0rsevefr9z5" timestamp="1738541937"&gt;510&lt;/key&gt;&lt;/foreign-keys&gt;&lt;ref-type name="Book"&gt;6&lt;/ref-type&gt;&lt;contributors&gt;&lt;authors&gt;&lt;author&gt;Plutarch&lt;/author&gt;&lt;/authors&gt;&lt;/contributors&gt;&lt;titles&gt;&lt;title&gt;Moralia&lt;/title&gt;&lt;secondary-title&gt;Loeb Classical Library&lt;/secondary-title&gt;&lt;/titles&gt;&lt;volume&gt;2&lt;/volume&gt;&lt;number&gt;222&lt;/number&gt;&lt;dates&gt;&lt;year&gt;1928&lt;/year&gt;&lt;/dates&gt;&lt;pub-location&gt;Cambridge, MA&lt;/pub-location&gt;&lt;publisher&gt;Harvard University&lt;/publisher&gt;&lt;urls&gt;&lt;/urls&gt;&lt;/record&gt;&lt;/Cite&gt;&lt;/EndNote&gt;</w:instrText>
      </w:r>
      <w:r>
        <w:fldChar w:fldCharType="separate"/>
      </w:r>
      <w:r>
        <w:rPr>
          <w:noProof/>
        </w:rPr>
        <w:t xml:space="preserve">Plutarch, </w:t>
      </w:r>
      <w:r w:rsidRPr="008B4E1B">
        <w:rPr>
          <w:i/>
          <w:noProof/>
        </w:rPr>
        <w:t>Moralia</w:t>
      </w:r>
      <w:r>
        <w:rPr>
          <w:noProof/>
        </w:rPr>
        <w:t xml:space="preserve">, vol. 2, </w:t>
      </w:r>
      <w:r w:rsidRPr="008B4E1B">
        <w:rPr>
          <w:i/>
          <w:noProof/>
        </w:rPr>
        <w:t>Loeb Classical Library</w:t>
      </w:r>
      <w:r>
        <w:rPr>
          <w:noProof/>
        </w:rPr>
        <w:t>, vol. 222 (Cambridge, MA: Harvard University, 1928), 317.</w:t>
      </w:r>
      <w:r>
        <w:fldChar w:fldCharType="end"/>
      </w:r>
    </w:p>
  </w:footnote>
  <w:footnote w:id="5">
    <w:p w14:paraId="276DB063" w14:textId="77777777" w:rsidR="006E362A" w:rsidRDefault="006E362A" w:rsidP="006E362A">
      <w:pPr>
        <w:pStyle w:val="FootnoteText"/>
      </w:pPr>
      <w:r>
        <w:rPr>
          <w:rStyle w:val="FootnoteReference"/>
        </w:rPr>
        <w:footnoteRef/>
      </w:r>
      <w:r>
        <w:t xml:space="preserve"> </w:t>
      </w:r>
      <w:r>
        <w:fldChar w:fldCharType="begin"/>
      </w:r>
      <w:r>
        <w:instrText xml:space="preserve"> ADDIN EN.CITE &lt;EndNote&gt;&lt;Cite&gt;&lt;Year&gt;1902&lt;/Year&gt;&lt;RecNum&gt;509&lt;/RecNum&gt;&lt;Pages&gt;452&lt;/Pages&gt;&lt;DisplayText&gt;&lt;style face="italic"&gt;The Tebtunis Papyri&lt;/style&gt;, ed. Arthur Hunt Bernard Grenfell, Gilbart Smyly, vol. 1 (London, England: Oxford University Press, 1902), 452.&lt;/DisplayText&gt;&lt;record&gt;&lt;rec-number&gt;509&lt;/rec-number&gt;&lt;foreign-keys&gt;&lt;key app="EN" db-id="rvzp5afzc2eppgewzt5x0esos0rsevefr9z5" timestamp="1738538213"&gt;509&lt;/key&gt;&lt;/foreign-keys&gt;&lt;ref-type name="Book"&gt;6&lt;/ref-type&gt;&lt;contributors&gt;&lt;tertiary-authors&gt;&lt;author&gt;Bernard Grenfell, Arthur Hunt, Gilbart Smyly&lt;/author&gt;&lt;/tertiary-authors&gt;&lt;/contributors&gt;&lt;titles&gt;&lt;title&gt;The Tebtunis Papyri&lt;/title&gt;&lt;/titles&gt;&lt;volume&gt;1&lt;/volume&gt;&lt;dates&gt;&lt;year&gt;1902&lt;/year&gt;&lt;/dates&gt;&lt;pub-location&gt;London, England&lt;/pub-location&gt;&lt;publisher&gt;Oxford University Press&lt;/publisher&gt;&lt;urls&gt;&lt;/urls&gt;&lt;/record&gt;&lt;/Cite&gt;&lt;/EndNote&gt;</w:instrText>
      </w:r>
      <w:r>
        <w:fldChar w:fldCharType="separate"/>
      </w:r>
      <w:r w:rsidRPr="00BB0499">
        <w:rPr>
          <w:i/>
          <w:noProof/>
        </w:rPr>
        <w:t>The Tebtunis Papyri</w:t>
      </w:r>
      <w:r>
        <w:rPr>
          <w:noProof/>
        </w:rPr>
        <w:t>, ed. Arthur Hunt Bernard Grenfell, Gilbart Smyly, vol. 1 (London, England: Oxford University Press, 1902), 452.</w:t>
      </w:r>
      <w:r>
        <w:fldChar w:fldCharType="end"/>
      </w:r>
    </w:p>
  </w:footnote>
  <w:footnote w:id="6">
    <w:p w14:paraId="28117F8F" w14:textId="77777777" w:rsidR="00DE3604" w:rsidRDefault="00DE3604" w:rsidP="00DE3604">
      <w:pPr>
        <w:pStyle w:val="FootnoteText"/>
      </w:pPr>
      <w:r>
        <w:rPr>
          <w:rStyle w:val="FootnoteReference"/>
        </w:rPr>
        <w:footnoteRef/>
      </w:r>
      <w:r>
        <w:t xml:space="preserve"> </w:t>
      </w:r>
      <w:r>
        <w:fldChar w:fldCharType="begin"/>
      </w:r>
      <w:r>
        <w:instrText xml:space="preserve"> ADDIN EN.CITE &lt;EndNote&gt;&lt;Cite&gt;&lt;Author&gt;Johnson&lt;/Author&gt;&lt;Year&gt;2022&lt;/Year&gt;&lt;RecNum&gt;489&lt;/RecNum&gt;&lt;Pages&gt;126&lt;/Pages&gt;&lt;DisplayText&gt;Marguerite Johnson, &lt;style face="italic"&gt;Sexuality in Greek and Roman Society and Literature: A Sourcebook&lt;/style&gt;, 2nd ed. (New York, NY: Routledge, 2022), 126.&lt;/DisplayText&gt;&lt;record&gt;&lt;rec-number&gt;489&lt;/rec-number&gt;&lt;foreign-keys&gt;&lt;key app="EN" db-id="rvzp5afzc2eppgewzt5x0esos0rsevefr9z5" timestamp="1737898628"&gt;489&lt;/key&gt;&lt;/foreign-keys&gt;&lt;ref-type name="Book"&gt;6&lt;/ref-type&gt;&lt;contributors&gt;&lt;authors&gt;&lt;author&gt;Marguerite Johnson&lt;/author&gt;&lt;/authors&gt;&lt;/contributors&gt;&lt;titles&gt;&lt;title&gt;Sexuality in Greek and Roman Society and Literature: A Sourcebook&lt;/title&gt;&lt;/titles&gt;&lt;edition&gt;2nd&lt;/edition&gt;&lt;dates&gt;&lt;year&gt;2022&lt;/year&gt;&lt;/dates&gt;&lt;pub-location&gt;New York, NY&lt;/pub-location&gt;&lt;publisher&gt;Routledge&lt;/publisher&gt;&lt;urls&gt;&lt;/urls&gt;&lt;/record&gt;&lt;/Cite&gt;&lt;/EndNote&gt;</w:instrText>
      </w:r>
      <w:r>
        <w:fldChar w:fldCharType="separate"/>
      </w:r>
      <w:r>
        <w:rPr>
          <w:noProof/>
        </w:rPr>
        <w:t xml:space="preserve">Marguerite Johnson, </w:t>
      </w:r>
      <w:r w:rsidRPr="00242E54">
        <w:rPr>
          <w:i/>
          <w:noProof/>
        </w:rPr>
        <w:t>Sexuality in Greek and Roman Society and Literature: A Sourcebook</w:t>
      </w:r>
      <w:r>
        <w:rPr>
          <w:noProof/>
        </w:rPr>
        <w:t>, 2nd ed. (New York, NY: Routledge, 2022), 126.</w:t>
      </w:r>
      <w:r>
        <w:fldChar w:fldCharType="end"/>
      </w:r>
    </w:p>
  </w:footnote>
  <w:footnote w:id="7">
    <w:p w14:paraId="42574AA5" w14:textId="77777777" w:rsidR="00DE3604" w:rsidRDefault="00DE3604" w:rsidP="00DE3604">
      <w:pPr>
        <w:pStyle w:val="FootnoteText"/>
      </w:pPr>
      <w:r>
        <w:rPr>
          <w:rStyle w:val="FootnoteReference"/>
        </w:rPr>
        <w:footnoteRef/>
      </w:r>
      <w:r>
        <w:t xml:space="preserve"> </w:t>
      </w:r>
      <w:r>
        <w:fldChar w:fldCharType="begin"/>
      </w:r>
      <w:r>
        <w:instrText xml:space="preserve"> ADDIN EN.CITE &lt;EndNote&gt;&lt;Cite&gt;&lt;Author&gt;Johnson&lt;/Author&gt;&lt;Year&gt;2022&lt;/Year&gt;&lt;RecNum&gt;489&lt;/RecNum&gt;&lt;Pages&gt;127&lt;/Pages&gt;&lt;DisplayText&gt;Johnson, 127.&lt;/DisplayText&gt;&lt;record&gt;&lt;rec-number&gt;489&lt;/rec-number&gt;&lt;foreign-keys&gt;&lt;key app="EN" db-id="rvzp5afzc2eppgewzt5x0esos0rsevefr9z5" timestamp="1737898628"&gt;489&lt;/key&gt;&lt;/foreign-keys&gt;&lt;ref-type name="Book"&gt;6&lt;/ref-type&gt;&lt;contributors&gt;&lt;authors&gt;&lt;author&gt;Marguerite Johnson&lt;/author&gt;&lt;/authors&gt;&lt;/contributors&gt;&lt;titles&gt;&lt;title&gt;Sexuality in Greek and Roman Society and Literature: A Sourcebook&lt;/title&gt;&lt;/titles&gt;&lt;edition&gt;2nd&lt;/edition&gt;&lt;dates&gt;&lt;year&gt;2022&lt;/year&gt;&lt;/dates&gt;&lt;pub-location&gt;New York, NY&lt;/pub-location&gt;&lt;publisher&gt;Routledge&lt;/publisher&gt;&lt;urls&gt;&lt;/urls&gt;&lt;/record&gt;&lt;/Cite&gt;&lt;/EndNote&gt;</w:instrText>
      </w:r>
      <w:r>
        <w:fldChar w:fldCharType="separate"/>
      </w:r>
      <w:r>
        <w:rPr>
          <w:noProof/>
        </w:rPr>
        <w:t>Johnson, 127.</w:t>
      </w:r>
      <w:r>
        <w:fldChar w:fldCharType="end"/>
      </w:r>
    </w:p>
  </w:footnote>
  <w:footnote w:id="8">
    <w:p w14:paraId="29D7708A" w14:textId="77777777" w:rsidR="00DE3604" w:rsidRDefault="00DE3604" w:rsidP="00DE3604">
      <w:pPr>
        <w:pStyle w:val="FootnoteText"/>
      </w:pPr>
      <w:r>
        <w:rPr>
          <w:rStyle w:val="FootnoteReference"/>
        </w:rPr>
        <w:footnoteRef/>
      </w:r>
      <w:r>
        <w:t xml:space="preserve"> </w:t>
      </w:r>
      <w:r>
        <w:fldChar w:fldCharType="begin"/>
      </w:r>
      <w:r>
        <w:instrText xml:space="preserve"> ADDIN EN.CITE &lt;EndNote&gt;&lt;Cite&gt;&lt;Author&gt;Rufus&lt;/Author&gt;&lt;Year&gt;2011&lt;/Year&gt;&lt;RecNum&gt;512&lt;/RecNum&gt;&lt;Pages&gt;57&lt;/Pages&gt;&lt;DisplayText&gt;Rufus, 57.&lt;/DisplayText&gt;&lt;record&gt;&lt;rec-number&gt;512&lt;/rec-number&gt;&lt;foreign-keys&gt;&lt;key app="EN" db-id="rvzp5afzc2eppgewzt5x0esos0rsevefr9z5" timestamp="1738552466"&gt;512&lt;/key&gt;&lt;/foreign-keys&gt;&lt;ref-type name="Book"&gt;6&lt;/ref-type&gt;&lt;contributors&gt;&lt;authors&gt;&lt;author&gt;Musonius Rufus&lt;/author&gt;&lt;/authors&gt;&lt;tertiary-authors&gt;&lt;author&gt;William B. Irvine&lt;/author&gt;&lt;/tertiary-authors&gt;&lt;subsidiary-authors&gt;&lt;author&gt;Cynthia King&lt;/author&gt;&lt;/subsidiary-authors&gt;&lt;/contributors&gt;&lt;titles&gt;&lt;title&gt;Lectures &amp;amp; Sayings: Revised Edition&lt;/title&gt;&lt;/titles&gt;&lt;dates&gt;&lt;year&gt;2011&lt;/year&gt;&lt;/dates&gt;&lt;pub-location&gt;Scotts Valley, CA&lt;/pub-location&gt;&lt;publisher&gt;CreateSpace&lt;/publisher&gt;&lt;urls&gt;&lt;/urls&gt;&lt;/record&gt;&lt;/Cite&gt;&lt;/EndNote&gt;</w:instrText>
      </w:r>
      <w:r>
        <w:fldChar w:fldCharType="separate"/>
      </w:r>
      <w:r>
        <w:rPr>
          <w:noProof/>
        </w:rPr>
        <w:t>Rufus, 57.</w:t>
      </w:r>
      <w:r>
        <w:fldChar w:fldCharType="end"/>
      </w:r>
    </w:p>
  </w:footnote>
  <w:footnote w:id="9">
    <w:p w14:paraId="49051461" w14:textId="77777777" w:rsidR="00DE3604" w:rsidRDefault="00DE3604" w:rsidP="00DE3604">
      <w:pPr>
        <w:pStyle w:val="FootnoteText"/>
      </w:pPr>
      <w:r>
        <w:rPr>
          <w:rStyle w:val="FootnoteReference"/>
        </w:rPr>
        <w:footnoteRef/>
      </w:r>
      <w:r>
        <w:t xml:space="preserve"> </w:t>
      </w:r>
      <w:r>
        <w:fldChar w:fldCharType="begin"/>
      </w:r>
      <w:r>
        <w:instrText xml:space="preserve"> ADDIN EN.CITE &lt;EndNote&gt;&lt;Cite&gt;&lt;Author&gt;Plutarch&lt;/Author&gt;&lt;Year&gt;1928&lt;/Year&gt;&lt;RecNum&gt;510&lt;/RecNum&gt;&lt;Pages&gt;313&lt;/Pages&gt;&lt;DisplayText&gt;Plutarch, 313.&lt;/DisplayText&gt;&lt;record&gt;&lt;rec-number&gt;510&lt;/rec-number&gt;&lt;foreign-keys&gt;&lt;key app="EN" db-id="rvzp5afzc2eppgewzt5x0esos0rsevefr9z5" timestamp="1738541937"&gt;510&lt;/key&gt;&lt;/foreign-keys&gt;&lt;ref-type name="Book"&gt;6&lt;/ref-type&gt;&lt;contributors&gt;&lt;authors&gt;&lt;author&gt;Plutarch&lt;/author&gt;&lt;/authors&gt;&lt;/contributors&gt;&lt;titles&gt;&lt;title&gt;Moralia&lt;/title&gt;&lt;secondary-title&gt;Loeb Classical Library&lt;/secondary-title&gt;&lt;/titles&gt;&lt;volume&gt;2&lt;/volume&gt;&lt;number&gt;222&lt;/number&gt;&lt;dates&gt;&lt;year&gt;1928&lt;/year&gt;&lt;/dates&gt;&lt;pub-location&gt;Cambridge, MA&lt;/pub-location&gt;&lt;publisher&gt;Harvard University&lt;/publisher&gt;&lt;urls&gt;&lt;/urls&gt;&lt;/record&gt;&lt;/Cite&gt;&lt;/EndNote&gt;</w:instrText>
      </w:r>
      <w:r>
        <w:fldChar w:fldCharType="separate"/>
      </w:r>
      <w:r>
        <w:rPr>
          <w:noProof/>
        </w:rPr>
        <w:t>Plutarch, 313.</w:t>
      </w:r>
      <w:r>
        <w:fldChar w:fldCharType="end"/>
      </w:r>
    </w:p>
  </w:footnote>
  <w:footnote w:id="10">
    <w:p w14:paraId="1B4AFA5D" w14:textId="77777777" w:rsidR="005A5619" w:rsidRDefault="005A5619" w:rsidP="005A5619">
      <w:pPr>
        <w:pStyle w:val="FootnoteText"/>
      </w:pPr>
      <w:r>
        <w:rPr>
          <w:rStyle w:val="FootnoteReference"/>
        </w:rPr>
        <w:footnoteRef/>
      </w:r>
      <w:r>
        <w:t xml:space="preserve"> </w:t>
      </w:r>
      <w:r>
        <w:fldChar w:fldCharType="begin"/>
      </w:r>
      <w:r>
        <w:instrText xml:space="preserve"> ADDIN EN.CITE &lt;EndNote&gt;&lt;Cite&gt;&lt;Author&gt;Plutarch&lt;/Author&gt;&lt;Year&gt;1928&lt;/Year&gt;&lt;RecNum&gt;510&lt;/RecNum&gt;&lt;Pages&gt;309&lt;/Pages&gt;&lt;DisplayText&gt;Plutarch, 309.&lt;/DisplayText&gt;&lt;record&gt;&lt;rec-number&gt;510&lt;/rec-number&gt;&lt;foreign-keys&gt;&lt;key app="EN" db-id="rvzp5afzc2eppgewzt5x0esos0rsevefr9z5" timestamp="1738541937"&gt;510&lt;/key&gt;&lt;/foreign-keys&gt;&lt;ref-type name="Book"&gt;6&lt;/ref-type&gt;&lt;contributors&gt;&lt;authors&gt;&lt;author&gt;Plutarch&lt;/author&gt;&lt;/authors&gt;&lt;/contributors&gt;&lt;titles&gt;&lt;title&gt;Moralia&lt;/title&gt;&lt;secondary-title&gt;Loeb Classical Library&lt;/secondary-title&gt;&lt;/titles&gt;&lt;volume&gt;2&lt;/volume&gt;&lt;number&gt;222&lt;/number&gt;&lt;dates&gt;&lt;year&gt;1928&lt;/year&gt;&lt;/dates&gt;&lt;pub-location&gt;Cambridge, MA&lt;/pub-location&gt;&lt;publisher&gt;Harvard University&lt;/publisher&gt;&lt;urls&gt;&lt;/urls&gt;&lt;/record&gt;&lt;/Cite&gt;&lt;/EndNote&gt;</w:instrText>
      </w:r>
      <w:r>
        <w:fldChar w:fldCharType="separate"/>
      </w:r>
      <w:r>
        <w:rPr>
          <w:noProof/>
        </w:rPr>
        <w:t>Plutarch, 309.</w:t>
      </w:r>
      <w:r>
        <w:fldChar w:fldCharType="end"/>
      </w:r>
    </w:p>
  </w:footnote>
  <w:footnote w:id="11">
    <w:p w14:paraId="267387B2" w14:textId="77777777" w:rsidR="005A5619" w:rsidRDefault="005A5619" w:rsidP="005A5619">
      <w:pPr>
        <w:pStyle w:val="FootnoteText"/>
      </w:pPr>
      <w:r>
        <w:rPr>
          <w:rStyle w:val="FootnoteReference"/>
        </w:rPr>
        <w:footnoteRef/>
      </w:r>
      <w:r>
        <w:t xml:space="preserve"> </w:t>
      </w:r>
      <w:r>
        <w:fldChar w:fldCharType="begin"/>
      </w:r>
      <w:r>
        <w:instrText xml:space="preserve"> ADDIN EN.CITE &lt;EndNote&gt;&lt;Cite&gt;&lt;Author&gt;Plutarch&lt;/Author&gt;&lt;Year&gt;1928&lt;/Year&gt;&lt;RecNum&gt;510&lt;/RecNum&gt;&lt;Pages&gt;333-5&lt;/Pages&gt;&lt;DisplayText&gt;Plutarch, 333-5.&lt;/DisplayText&gt;&lt;record&gt;&lt;rec-number&gt;510&lt;/rec-number&gt;&lt;foreign-keys&gt;&lt;key app="EN" db-id="rvzp5afzc2eppgewzt5x0esos0rsevefr9z5" timestamp="1738541937"&gt;510&lt;/key&gt;&lt;/foreign-keys&gt;&lt;ref-type name="Book"&gt;6&lt;/ref-type&gt;&lt;contributors&gt;&lt;authors&gt;&lt;author&gt;Plutarch&lt;/author&gt;&lt;/authors&gt;&lt;/contributors&gt;&lt;titles&gt;&lt;title&gt;Moralia&lt;/title&gt;&lt;secondary-title&gt;Loeb Classical Library&lt;/secondary-title&gt;&lt;/titles&gt;&lt;volume&gt;2&lt;/volume&gt;&lt;number&gt;222&lt;/number&gt;&lt;dates&gt;&lt;year&gt;1928&lt;/year&gt;&lt;/dates&gt;&lt;pub-location&gt;Cambridge, MA&lt;/pub-location&gt;&lt;publisher&gt;Harvard University&lt;/publisher&gt;&lt;urls&gt;&lt;/urls&gt;&lt;/record&gt;&lt;/Cite&gt;&lt;/EndNote&gt;</w:instrText>
      </w:r>
      <w:r>
        <w:fldChar w:fldCharType="separate"/>
      </w:r>
      <w:r>
        <w:rPr>
          <w:noProof/>
        </w:rPr>
        <w:t>Plutarch, 333-5.</w:t>
      </w:r>
      <w:r>
        <w:fldChar w:fldCharType="end"/>
      </w:r>
    </w:p>
  </w:footnote>
  <w:footnote w:id="12">
    <w:p w14:paraId="39297D33" w14:textId="77777777" w:rsidR="005A5619" w:rsidRDefault="005A5619" w:rsidP="005A5619">
      <w:pPr>
        <w:pStyle w:val="FootnoteText"/>
      </w:pPr>
      <w:r>
        <w:rPr>
          <w:rStyle w:val="FootnoteReference"/>
        </w:rPr>
        <w:footnoteRef/>
      </w:r>
      <w:r>
        <w:t xml:space="preserve"> </w:t>
      </w:r>
      <w:r>
        <w:fldChar w:fldCharType="begin"/>
      </w:r>
      <w:r>
        <w:instrText xml:space="preserve"> ADDIN EN.CITE &lt;EndNote&gt;&lt;Cite&gt;&lt;Author&gt;Martial&lt;/Author&gt;&lt;Year&gt;1961&lt;/Year&gt;&lt;RecNum&gt;515&lt;/RecNum&gt;&lt;Pages&gt;381&lt;/Pages&gt;&lt;DisplayText&gt;Martial, &lt;style face="italic"&gt;Epigrams&lt;/style&gt;, trans. Walter C. A. Ker, vol. 1, &lt;style face="italic"&gt;Loeb Classical Library&lt;/style&gt; (Cambridge, MA: Harvard University, 1961), 381.&lt;/DisplayText&gt;&lt;record&gt;&lt;rec-number&gt;515&lt;/rec-number&gt;&lt;foreign-keys&gt;&lt;key app="EN" db-id="rvzp5afzc2eppgewzt5x0esos0rsevefr9z5" timestamp="1738611570"&gt;515&lt;/key&gt;&lt;/foreign-keys&gt;&lt;ref-type name="Book"&gt;6&lt;/ref-type&gt;&lt;contributors&gt;&lt;authors&gt;&lt;author&gt;Martial&lt;/author&gt;&lt;/authors&gt;&lt;subsidiary-authors&gt;&lt;author&gt;Walter C. A. Ker&lt;/author&gt;&lt;/subsidiary-authors&gt;&lt;/contributors&gt;&lt;titles&gt;&lt;title&gt;Epigrams&lt;/title&gt;&lt;secondary-title&gt;Loeb Classical Library&lt;/secondary-title&gt;&lt;/titles&gt;&lt;volume&gt;1&lt;/volume&gt;&lt;dates&gt;&lt;year&gt;1961&lt;/year&gt;&lt;/dates&gt;&lt;pub-location&gt;Cambridge, MA&lt;/pub-location&gt;&lt;publisher&gt;Harvard University&lt;/publisher&gt;&lt;urls&gt;&lt;/urls&gt;&lt;/record&gt;&lt;/Cite&gt;&lt;/EndNote&gt;</w:instrText>
      </w:r>
      <w:r>
        <w:fldChar w:fldCharType="separate"/>
      </w:r>
      <w:r>
        <w:rPr>
          <w:noProof/>
        </w:rPr>
        <w:t xml:space="preserve">Martial, </w:t>
      </w:r>
      <w:r w:rsidRPr="00F514C5">
        <w:rPr>
          <w:i/>
          <w:noProof/>
        </w:rPr>
        <w:t>Epigrams</w:t>
      </w:r>
      <w:r>
        <w:rPr>
          <w:noProof/>
        </w:rPr>
        <w:t xml:space="preserve">, trans. Walter C. A. Ker, vol. 1, </w:t>
      </w:r>
      <w:r w:rsidRPr="00F514C5">
        <w:rPr>
          <w:i/>
          <w:noProof/>
        </w:rPr>
        <w:t>Loeb Classical Library</w:t>
      </w:r>
      <w:r>
        <w:rPr>
          <w:noProof/>
        </w:rPr>
        <w:t xml:space="preserve"> (Cambridge, MA: Harvard University, 1961), 381.</w:t>
      </w:r>
      <w:r>
        <w:fldChar w:fldCharType="end"/>
      </w:r>
    </w:p>
  </w:footnote>
  <w:footnote w:id="13">
    <w:p w14:paraId="07B4D696" w14:textId="77777777" w:rsidR="005A5619" w:rsidRDefault="005A5619" w:rsidP="005A5619">
      <w:pPr>
        <w:pStyle w:val="FootnoteText"/>
      </w:pPr>
      <w:r>
        <w:rPr>
          <w:rStyle w:val="FootnoteReference"/>
        </w:rPr>
        <w:footnoteRef/>
      </w:r>
      <w:r>
        <w:t xml:space="preserve"> </w:t>
      </w:r>
      <w:r>
        <w:fldChar w:fldCharType="begin"/>
      </w:r>
      <w:r>
        <w:instrText xml:space="preserve"> ADDIN EN.CITE &lt;EndNote&gt;&lt;Cite&gt;&lt;Author&gt;Juvenal&lt;/Author&gt;&lt;Year&gt;2004&lt;/Year&gt;&lt;RecNum&gt;478&lt;/RecNum&gt;&lt;Pages&gt;37&lt;/Pages&gt;&lt;DisplayText&gt;Juvenal, &lt;style face="italic"&gt;The Sixteen Satires&lt;/style&gt;, trans. Peter Green, 3rd ed. (London, England: Penguin, 2004), 37.&lt;/DisplayText&gt;&lt;record&gt;&lt;rec-number&gt;478&lt;/rec-number&gt;&lt;foreign-keys&gt;&lt;key app="EN" db-id="rvzp5afzc2eppgewzt5x0esos0rsevefr9z5" timestamp="1736445844"&gt;478&lt;/key&gt;&lt;/foreign-keys&gt;&lt;ref-type name="Book"&gt;6&lt;/ref-type&gt;&lt;contributors&gt;&lt;authors&gt;&lt;author&gt;Juvenal&lt;/author&gt;&lt;/authors&gt;&lt;subsidiary-authors&gt;&lt;author&gt;Peter Green&lt;/author&gt;&lt;/subsidiary-authors&gt;&lt;/contributors&gt;&lt;titles&gt;&lt;title&gt;The Sixteen Satires&lt;/title&gt;&lt;/titles&gt;&lt;edition&gt;3rd&lt;/edition&gt;&lt;dates&gt;&lt;year&gt;2004&lt;/year&gt;&lt;/dates&gt;&lt;pub-location&gt;London, England&lt;/pub-location&gt;&lt;publisher&gt;Penguin&lt;/publisher&gt;&lt;urls&gt;&lt;/urls&gt;&lt;/record&gt;&lt;/Cite&gt;&lt;/EndNote&gt;</w:instrText>
      </w:r>
      <w:r>
        <w:fldChar w:fldCharType="separate"/>
      </w:r>
      <w:r>
        <w:rPr>
          <w:noProof/>
        </w:rPr>
        <w:t xml:space="preserve">Juvenal, </w:t>
      </w:r>
      <w:r w:rsidRPr="007B5F28">
        <w:rPr>
          <w:i/>
          <w:noProof/>
        </w:rPr>
        <w:t>The Sixteen Satires</w:t>
      </w:r>
      <w:r>
        <w:rPr>
          <w:noProof/>
        </w:rPr>
        <w:t>, trans. Peter Green, 3rd ed. (London, England: Penguin, 2004), 37.</w:t>
      </w:r>
      <w:r>
        <w:fldChar w:fldCharType="end"/>
      </w:r>
    </w:p>
  </w:footnote>
  <w:footnote w:id="14">
    <w:p w14:paraId="352C13A6" w14:textId="77777777" w:rsidR="004A03B4" w:rsidRDefault="004A03B4" w:rsidP="004A03B4">
      <w:pPr>
        <w:pStyle w:val="FootnoteText"/>
      </w:pPr>
      <w:r>
        <w:rPr>
          <w:rStyle w:val="FootnoteReference"/>
        </w:rPr>
        <w:footnoteRef/>
      </w:r>
      <w:r>
        <w:t xml:space="preserve"> </w:t>
      </w:r>
      <w:r>
        <w:fldChar w:fldCharType="begin"/>
      </w:r>
      <w:r>
        <w:instrText xml:space="preserve"> ADDIN EN.CITE &lt;EndNote&gt;&lt;Cite&gt;&lt;Author&gt;Suetonius&lt;/Author&gt;&lt;Year&gt;2007&lt;/Year&gt;&lt;RecNum&gt;471&lt;/RecNum&gt;&lt;Pages&gt;63&lt;/Pages&gt;&lt;DisplayText&gt;Suetonius, &lt;style face="italic"&gt;The Twelve Caesars&lt;/style&gt;, trans. Robert Graves (London, England: Penguin, 2007), 63.&lt;/DisplayText&gt;&lt;record&gt;&lt;rec-number&gt;471&lt;/rec-number&gt;&lt;foreign-keys&gt;&lt;key app="EN" db-id="rvzp5afzc2eppgewzt5x0esos0rsevefr9z5" timestamp="1736346884"&gt;471&lt;/key&gt;&lt;/foreign-keys&gt;&lt;ref-type name="Book"&gt;6&lt;/ref-type&gt;&lt;contributors&gt;&lt;authors&gt;&lt;author&gt;Suetonius&lt;/author&gt;&lt;/authors&gt;&lt;subsidiary-authors&gt;&lt;author&gt;Robert Graves&lt;/author&gt;&lt;/subsidiary-authors&gt;&lt;/contributors&gt;&lt;titles&gt;&lt;title&gt;The Twelve Caesars&lt;/title&gt;&lt;/titles&gt;&lt;dates&gt;&lt;year&gt;2007&lt;/year&gt;&lt;/dates&gt;&lt;pub-location&gt;London, England&lt;/pub-location&gt;&lt;publisher&gt;Penguin&lt;/publisher&gt;&lt;urls&gt;&lt;/urls&gt;&lt;/record&gt;&lt;/Cite&gt;&lt;/EndNote&gt;</w:instrText>
      </w:r>
      <w:r>
        <w:fldChar w:fldCharType="separate"/>
      </w:r>
      <w:r>
        <w:rPr>
          <w:noProof/>
        </w:rPr>
        <w:t xml:space="preserve">Suetonius, </w:t>
      </w:r>
      <w:r w:rsidRPr="00C8591B">
        <w:rPr>
          <w:i/>
          <w:noProof/>
        </w:rPr>
        <w:t>The Twelve Caesars</w:t>
      </w:r>
      <w:r>
        <w:rPr>
          <w:noProof/>
        </w:rPr>
        <w:t>, trans. Robert Graves (London, England: Penguin, 2007), 63.</w:t>
      </w:r>
      <w:r>
        <w:fldChar w:fldCharType="end"/>
      </w:r>
    </w:p>
  </w:footnote>
  <w:footnote w:id="15">
    <w:p w14:paraId="35FE32D9" w14:textId="77777777" w:rsidR="0080767F" w:rsidRDefault="0080767F" w:rsidP="0080767F">
      <w:pPr>
        <w:pStyle w:val="FootnoteText"/>
      </w:pPr>
      <w:r>
        <w:rPr>
          <w:rStyle w:val="FootnoteReference"/>
        </w:rPr>
        <w:footnoteRef/>
      </w:r>
      <w:r>
        <w:t xml:space="preserve"> </w:t>
      </w:r>
      <w:r>
        <w:fldChar w:fldCharType="begin"/>
      </w:r>
      <w:r>
        <w:instrText xml:space="preserve"> ADDIN EN.CITE &lt;EndNote&gt;&lt;Cite&gt;&lt;Author&gt;Dio&lt;/Author&gt;&lt;Year&gt;1987&lt;/Year&gt;&lt;RecNum&gt;502&lt;/RecNum&gt;&lt;Pages&gt;169-70&lt;/Pages&gt;&lt;DisplayText&gt;Cassius Dio, &lt;style face="italic"&gt;The Roman History: The Reign of Augustus&lt;/style&gt;, trans. Ian Scott-Kilvert, &lt;style face="italic"&gt;Penguin Classics&lt;/style&gt; (London, England: Penguin, 1987), 169-70.&lt;/DisplayText&gt;&lt;record&gt;&lt;rec-number&gt;502&lt;/rec-number&gt;&lt;foreign-keys&gt;&lt;key app="EN" db-id="rvzp5afzc2eppgewzt5x0esos0rsevefr9z5" timestamp="1738254041"&gt;502&lt;/key&gt;&lt;/foreign-keys&gt;&lt;ref-type name="Book"&gt;6&lt;/ref-type&gt;&lt;contributors&gt;&lt;authors&gt;&lt;author&gt;Cassius Dio&lt;/author&gt;&lt;/authors&gt;&lt;subsidiary-authors&gt;&lt;author&gt;Ian Scott-Kilvert&lt;/author&gt;&lt;/subsidiary-authors&gt;&lt;/contributors&gt;&lt;titles&gt;&lt;title&gt;The Roman History: The Reign of Augustus&lt;/title&gt;&lt;secondary-title&gt;Penguin Classics&lt;/secondary-title&gt;&lt;/titles&gt;&lt;dates&gt;&lt;year&gt;1987&lt;/year&gt;&lt;/dates&gt;&lt;pub-location&gt;London, England&lt;/pub-location&gt;&lt;publisher&gt;Penguin&lt;/publisher&gt;&lt;urls&gt;&lt;/urls&gt;&lt;/record&gt;&lt;/Cite&gt;&lt;/EndNote&gt;</w:instrText>
      </w:r>
      <w:r>
        <w:fldChar w:fldCharType="separate"/>
      </w:r>
      <w:r>
        <w:rPr>
          <w:noProof/>
        </w:rPr>
        <w:t xml:space="preserve">Cassius Dio, </w:t>
      </w:r>
      <w:r w:rsidRPr="00DB20D8">
        <w:rPr>
          <w:i/>
          <w:noProof/>
        </w:rPr>
        <w:t>The Roman History: The Reign of Augustus</w:t>
      </w:r>
      <w:r>
        <w:rPr>
          <w:noProof/>
        </w:rPr>
        <w:t xml:space="preserve">, trans. Ian Scott-Kilvert, </w:t>
      </w:r>
      <w:r w:rsidRPr="00DB20D8">
        <w:rPr>
          <w:i/>
          <w:noProof/>
        </w:rPr>
        <w:t>Penguin Classics</w:t>
      </w:r>
      <w:r>
        <w:rPr>
          <w:noProof/>
        </w:rPr>
        <w:t xml:space="preserve"> (London, England: Penguin, 1987), 169-70.</w:t>
      </w:r>
      <w:r>
        <w:fldChar w:fldCharType="end"/>
      </w:r>
    </w:p>
  </w:footnote>
  <w:footnote w:id="16">
    <w:p w14:paraId="32613389" w14:textId="77777777" w:rsidR="00721E65" w:rsidRDefault="00721E65" w:rsidP="00721E65">
      <w:pPr>
        <w:pStyle w:val="FootnoteText"/>
      </w:pPr>
      <w:r>
        <w:rPr>
          <w:rStyle w:val="FootnoteReference"/>
        </w:rPr>
        <w:footnoteRef/>
      </w:r>
      <w:r>
        <w:t xml:space="preserve"> </w:t>
      </w:r>
      <w:r>
        <w:fldChar w:fldCharType="begin"/>
      </w:r>
      <w:r>
        <w:instrText xml:space="preserve"> ADDIN EN.CITE &lt;EndNote&gt;&lt;Cite&gt;&lt;Author&gt;Winter&lt;/Author&gt;&lt;Year&gt;2003&lt;/Year&gt;&lt;RecNum&gt;507&lt;/RecNum&gt;&lt;Pages&gt;21`, 37-8&lt;/Pages&gt;&lt;DisplayText&gt;Bruce Winter, &lt;style face="italic"&gt;Roman Wives, Roman Widows: The Appearance of New Women and the Pauline Communities&lt;/style&gt; (Grand Rapids, MI: Eerdmans, 2003), 21, 37-8.&lt;/DisplayText&gt;&lt;record&gt;&lt;rec-number&gt;507&lt;/rec-number&gt;&lt;foreign-keys&gt;&lt;key app="EN" db-id="rvzp5afzc2eppgewzt5x0esos0rsevefr9z5" timestamp="1738340015"&gt;507&lt;/key&gt;&lt;/foreign-keys&gt;&lt;ref-type name="Book"&gt;6&lt;/ref-type&gt;&lt;contributors&gt;&lt;authors&gt;&lt;author&gt;Bruce Winter&lt;/author&gt;&lt;/authors&gt;&lt;/contributors&gt;&lt;titles&gt;&lt;title&gt;Roman Wives, Roman Widows: The Appearance of New Women and the Pauline Communities&lt;/title&gt;&lt;/titles&gt;&lt;dates&gt;&lt;year&gt;2003&lt;/year&gt;&lt;/dates&gt;&lt;pub-location&gt;Grand Rapids, MI&lt;/pub-location&gt;&lt;publisher&gt;Eerdmans&lt;/publisher&gt;&lt;urls&gt;&lt;/urls&gt;&lt;/record&gt;&lt;/Cite&gt;&lt;/EndNote&gt;</w:instrText>
      </w:r>
      <w:r>
        <w:fldChar w:fldCharType="separate"/>
      </w:r>
      <w:r>
        <w:rPr>
          <w:noProof/>
        </w:rPr>
        <w:t xml:space="preserve">Bruce Winter, </w:t>
      </w:r>
      <w:r w:rsidRPr="00DE0E14">
        <w:rPr>
          <w:i/>
          <w:noProof/>
        </w:rPr>
        <w:t>Roman Wives, Roman Widows: The Appearance of New Women and the Pauline Communities</w:t>
      </w:r>
      <w:r>
        <w:rPr>
          <w:noProof/>
        </w:rPr>
        <w:t xml:space="preserve"> (Grand Rapids, MI: Eerdmans, 2003), 21, 37-8.</w:t>
      </w:r>
      <w:r>
        <w:fldChar w:fldCharType="end"/>
      </w:r>
    </w:p>
  </w:footnote>
  <w:footnote w:id="17">
    <w:p w14:paraId="5602CD55" w14:textId="77777777" w:rsidR="00721E65" w:rsidRDefault="00721E65" w:rsidP="00721E65">
      <w:pPr>
        <w:pStyle w:val="FootnoteText"/>
      </w:pPr>
      <w:r>
        <w:rPr>
          <w:rStyle w:val="FootnoteReference"/>
        </w:rPr>
        <w:footnoteRef/>
      </w:r>
      <w:r>
        <w:t xml:space="preserve"> </w:t>
      </w:r>
      <w:r>
        <w:fldChar w:fldCharType="begin"/>
      </w:r>
      <w:r>
        <w:instrText xml:space="preserve"> ADDIN EN.CITE &lt;EndNote&gt;&lt;Cite&gt;&lt;Author&gt;Martial&lt;/Author&gt;&lt;Year&gt;2015&lt;/Year&gt;&lt;RecNum&gt;495&lt;/RecNum&gt;&lt;Pages&gt;113&lt;/Pages&gt;&lt;DisplayText&gt;Martial, &lt;style face="italic"&gt;Epigrams&lt;/style&gt;, trans. Gideon Nisbet, &lt;style face="italic"&gt;Oxford World&amp;apos;s Classics&lt;/style&gt; (Oxford, England: Oxford University, 2015), 113.&lt;/DisplayText&gt;&lt;record&gt;&lt;rec-number&gt;495&lt;/rec-number&gt;&lt;foreign-keys&gt;&lt;key app="EN" db-id="rvzp5afzc2eppgewzt5x0esos0rsevefr9z5" timestamp="1737983300"&gt;495&lt;/key&gt;&lt;/foreign-keys&gt;&lt;ref-type name="Book"&gt;6&lt;/ref-type&gt;&lt;contributors&gt;&lt;authors&gt;&lt;author&gt;Martial&lt;/author&gt;&lt;/authors&gt;&lt;subsidiary-authors&gt;&lt;author&gt;Gideon Nisbet&lt;/author&gt;&lt;/subsidiary-authors&gt;&lt;/contributors&gt;&lt;titles&gt;&lt;title&gt;Epigrams&lt;/title&gt;&lt;secondary-title&gt;Oxford World&amp;apos;s Classics&lt;/secondary-title&gt;&lt;/titles&gt;&lt;dates&gt;&lt;year&gt;2015&lt;/year&gt;&lt;/dates&gt;&lt;pub-location&gt;Oxford, England&lt;/pub-location&gt;&lt;publisher&gt;Oxford University&lt;/publisher&gt;&lt;urls&gt;&lt;/urls&gt;&lt;/record&gt;&lt;/Cite&gt;&lt;/EndNote&gt;</w:instrText>
      </w:r>
      <w:r>
        <w:fldChar w:fldCharType="separate"/>
      </w:r>
      <w:r>
        <w:rPr>
          <w:noProof/>
        </w:rPr>
        <w:t xml:space="preserve">Martial, </w:t>
      </w:r>
      <w:r w:rsidRPr="00543464">
        <w:rPr>
          <w:i/>
          <w:noProof/>
        </w:rPr>
        <w:t>Epigrams</w:t>
      </w:r>
      <w:r>
        <w:rPr>
          <w:noProof/>
        </w:rPr>
        <w:t xml:space="preserve">, trans. Gideon Nisbet, </w:t>
      </w:r>
      <w:r w:rsidRPr="00543464">
        <w:rPr>
          <w:i/>
          <w:noProof/>
        </w:rPr>
        <w:t>Oxford World's Classics</w:t>
      </w:r>
      <w:r>
        <w:rPr>
          <w:noProof/>
        </w:rPr>
        <w:t xml:space="preserve"> (Oxford, England: Oxford University, 2015), 113.</w:t>
      </w:r>
      <w:r>
        <w:fldChar w:fldCharType="end"/>
      </w:r>
    </w:p>
  </w:footnote>
  <w:footnote w:id="18">
    <w:p w14:paraId="448C296B" w14:textId="77777777" w:rsidR="00721E65" w:rsidRDefault="00721E65" w:rsidP="00721E65">
      <w:pPr>
        <w:pStyle w:val="FootnoteText"/>
      </w:pPr>
      <w:r>
        <w:rPr>
          <w:rStyle w:val="FootnoteReference"/>
        </w:rPr>
        <w:footnoteRef/>
      </w:r>
      <w:r>
        <w:t xml:space="preserve"> </w:t>
      </w:r>
      <w:r>
        <w:fldChar w:fldCharType="begin"/>
      </w:r>
      <w:r>
        <w:instrText xml:space="preserve"> ADDIN EN.CITE &lt;EndNote&gt;&lt;Cite&gt;&lt;Author&gt;Seneca&lt;/Author&gt;&lt;Year&gt;2011&lt;/Year&gt;&lt;RecNum&gt;511&lt;/RecNum&gt;&lt;Pages&gt;68-9&lt;/Pages&gt;&lt;DisplayText&gt;Lucius Annaeus Seneca, &lt;style face="italic"&gt;On Benefits&lt;/style&gt;, trans. Miriam Griffin and Brad Inwood (Chicago, IL: University of Chicago, 2011), 68-9.&lt;/DisplayText&gt;&lt;record&gt;&lt;rec-number&gt;511&lt;/rec-number&gt;&lt;foreign-keys&gt;&lt;key app="EN" db-id="rvzp5afzc2eppgewzt5x0esos0rsevefr9z5" timestamp="1738546737"&gt;511&lt;/key&gt;&lt;/foreign-keys&gt;&lt;ref-type name="Book"&gt;6&lt;/ref-type&gt;&lt;contributors&gt;&lt;authors&gt;&lt;author&gt;Lucius Annaeus Seneca&lt;/author&gt;&lt;/authors&gt;&lt;subsidiary-authors&gt;&lt;author&gt;Miriam Griffin and Brad Inwood&lt;/author&gt;&lt;/subsidiary-authors&gt;&lt;/contributors&gt;&lt;titles&gt;&lt;title&gt;On Benefits&lt;/title&gt;&lt;/titles&gt;&lt;dates&gt;&lt;year&gt;2011&lt;/year&gt;&lt;/dates&gt;&lt;pub-location&gt;Chicago, IL&lt;/pub-location&gt;&lt;publisher&gt;University of Chicago&lt;/publisher&gt;&lt;urls&gt;&lt;/urls&gt;&lt;/record&gt;&lt;/Cite&gt;&lt;/EndNote&gt;</w:instrText>
      </w:r>
      <w:r>
        <w:fldChar w:fldCharType="separate"/>
      </w:r>
      <w:r>
        <w:rPr>
          <w:noProof/>
        </w:rPr>
        <w:t xml:space="preserve">Lucius Annaeus Seneca, </w:t>
      </w:r>
      <w:r w:rsidRPr="00DC1273">
        <w:rPr>
          <w:i/>
          <w:noProof/>
        </w:rPr>
        <w:t>On Benefits</w:t>
      </w:r>
      <w:r>
        <w:rPr>
          <w:noProof/>
        </w:rPr>
        <w:t>, trans. Miriam Griffin and Brad Inwood (Chicago, IL: University of Chicago, 2011), 68-9.</w:t>
      </w:r>
      <w:r>
        <w:fldChar w:fldCharType="end"/>
      </w:r>
    </w:p>
  </w:footnote>
  <w:footnote w:id="19">
    <w:p w14:paraId="7C23E0F6" w14:textId="77777777" w:rsidR="003D2C1E" w:rsidRDefault="003D2C1E" w:rsidP="003D2C1E">
      <w:pPr>
        <w:pStyle w:val="FootnoteText"/>
      </w:pPr>
      <w:r>
        <w:rPr>
          <w:rStyle w:val="FootnoteReference"/>
        </w:rPr>
        <w:footnoteRef/>
      </w:r>
      <w:r>
        <w:t xml:space="preserve"> </w:t>
      </w:r>
      <w:r>
        <w:fldChar w:fldCharType="begin"/>
      </w:r>
      <w:r>
        <w:instrText xml:space="preserve"> ADDIN EN.CITE &lt;EndNote&gt;&lt;Cite&gt;&lt;Author&gt;Pearcey&lt;/Author&gt;&lt;Year&gt;2023&lt;/Year&gt;&lt;RecNum&gt;351&lt;/RecNum&gt;&lt;Pages&gt;52&lt;/Pages&gt;&lt;DisplayText&gt;Nancy Pearcey, &lt;style face="italic"&gt;The Toxic War on Masculinity&lt;/style&gt; (Grand Rapids, MI: Baker, 2023), 52.&lt;/DisplayText&gt;&lt;record&gt;&lt;rec-number&gt;351&lt;/rec-number&gt;&lt;foreign-keys&gt;&lt;key app="EN" db-id="rvzp5afzc2eppgewzt5x0esos0rsevefr9z5" timestamp="1687446807"&gt;351&lt;/key&gt;&lt;/foreign-keys&gt;&lt;ref-type name="Book"&gt;6&lt;/ref-type&gt;&lt;contributors&gt;&lt;authors&gt;&lt;author&gt;Nancy Pearcey&lt;/author&gt;&lt;/authors&gt;&lt;/contributors&gt;&lt;titles&gt;&lt;title&gt;The Toxic War on Masculinity&lt;/title&gt;&lt;/titles&gt;&lt;dates&gt;&lt;year&gt;2023&lt;/year&gt;&lt;/dates&gt;&lt;pub-location&gt;Grand Rapids, MI&lt;/pub-location&gt;&lt;publisher&gt;Baker&lt;/publisher&gt;&lt;urls&gt;&lt;/urls&gt;&lt;/record&gt;&lt;/Cite&gt;&lt;/EndNote&gt;</w:instrText>
      </w:r>
      <w:r>
        <w:fldChar w:fldCharType="separate"/>
      </w:r>
      <w:r>
        <w:rPr>
          <w:noProof/>
        </w:rPr>
        <w:t xml:space="preserve">Nancy Pearcey, </w:t>
      </w:r>
      <w:r w:rsidRPr="000324DB">
        <w:rPr>
          <w:i/>
          <w:noProof/>
        </w:rPr>
        <w:t>The Toxic War on Masculinity</w:t>
      </w:r>
      <w:r>
        <w:rPr>
          <w:noProof/>
        </w:rPr>
        <w:t xml:space="preserve"> (Grand Rapids, MI: Baker, 2023), 52.</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580C"/>
    <w:multiLevelType w:val="hybridMultilevel"/>
    <w:tmpl w:val="CFA2302C"/>
    <w:lvl w:ilvl="0" w:tplc="669E12F6">
      <w:start w:val="12"/>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90148"/>
    <w:multiLevelType w:val="multilevel"/>
    <w:tmpl w:val="997823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0221E4"/>
    <w:multiLevelType w:val="hybridMultilevel"/>
    <w:tmpl w:val="C2581CB4"/>
    <w:lvl w:ilvl="0" w:tplc="221009B4">
      <w:start w:val="6"/>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665D42"/>
    <w:multiLevelType w:val="hybridMultilevel"/>
    <w:tmpl w:val="F6060C82"/>
    <w:lvl w:ilvl="0" w:tplc="0DEEB750">
      <w:start w:val="6"/>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67CD5"/>
    <w:multiLevelType w:val="hybridMultilevel"/>
    <w:tmpl w:val="D890BD40"/>
    <w:lvl w:ilvl="0" w:tplc="131C901A">
      <w:start w:val="8"/>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1E374F"/>
    <w:multiLevelType w:val="multilevel"/>
    <w:tmpl w:val="F75E9B10"/>
    <w:lvl w:ilvl="0">
      <w:start w:val="1"/>
      <w:numFmt w:val="bullet"/>
      <w:lvlText w:val="­"/>
      <w:lvlJc w:val="left"/>
      <w:pPr>
        <w:tabs>
          <w:tab w:val="num" w:pos="720"/>
        </w:tabs>
        <w:ind w:left="720" w:hanging="360"/>
      </w:pPr>
      <w:rPr>
        <w:rFonts w:ascii="Palatino Linotype" w:hAnsi="Palatino Linotype"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1739FA"/>
    <w:multiLevelType w:val="hybridMultilevel"/>
    <w:tmpl w:val="C7326DD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0F97263"/>
    <w:multiLevelType w:val="hybridMultilevel"/>
    <w:tmpl w:val="239A4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763448"/>
    <w:multiLevelType w:val="hybridMultilevel"/>
    <w:tmpl w:val="C3A8870E"/>
    <w:lvl w:ilvl="0" w:tplc="26062AF0">
      <w:start w:val="1"/>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17639F"/>
    <w:multiLevelType w:val="hybridMultilevel"/>
    <w:tmpl w:val="B84CC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D61996"/>
    <w:multiLevelType w:val="hybridMultilevel"/>
    <w:tmpl w:val="616A8B3A"/>
    <w:lvl w:ilvl="0" w:tplc="E89AECE2">
      <w:start w:val="1"/>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067AF3"/>
    <w:multiLevelType w:val="hybridMultilevel"/>
    <w:tmpl w:val="C600919C"/>
    <w:lvl w:ilvl="0" w:tplc="593EF55E">
      <w:start w:val="1"/>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FF142B"/>
    <w:multiLevelType w:val="hybridMultilevel"/>
    <w:tmpl w:val="B5EE06DC"/>
    <w:lvl w:ilvl="0" w:tplc="EB48A678">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1B16E2"/>
    <w:multiLevelType w:val="hybridMultilevel"/>
    <w:tmpl w:val="81FE5DC8"/>
    <w:lvl w:ilvl="0" w:tplc="A0D81232">
      <w:start w:val="1"/>
      <w:numFmt w:val="bullet"/>
      <w:lvlText w:val="-"/>
      <w:lvlJc w:val="left"/>
      <w:pPr>
        <w:ind w:left="720" w:hanging="36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DB03E7"/>
    <w:multiLevelType w:val="hybridMultilevel"/>
    <w:tmpl w:val="06EE43F4"/>
    <w:lvl w:ilvl="0" w:tplc="B7967522">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A7F49"/>
    <w:multiLevelType w:val="hybridMultilevel"/>
    <w:tmpl w:val="A1A00D5C"/>
    <w:lvl w:ilvl="0" w:tplc="1298D584">
      <w:start w:val="1"/>
      <w:numFmt w:val="bullet"/>
      <w:lvlText w:val="-"/>
      <w:lvlJc w:val="left"/>
      <w:pPr>
        <w:ind w:left="360" w:hanging="360"/>
      </w:pPr>
      <w:rPr>
        <w:rFonts w:ascii="Palatino Linotype" w:eastAsiaTheme="minorHAnsi" w:hAnsi="Palatino Linotype"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0A374DC"/>
    <w:multiLevelType w:val="hybridMultilevel"/>
    <w:tmpl w:val="80F6F530"/>
    <w:lvl w:ilvl="0" w:tplc="35208494">
      <w:start w:val="1"/>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06073E"/>
    <w:multiLevelType w:val="hybridMultilevel"/>
    <w:tmpl w:val="1D5E2708"/>
    <w:lvl w:ilvl="0" w:tplc="60423024">
      <w:start w:val="1"/>
      <w:numFmt w:val="bullet"/>
      <w:lvlText w:val="-"/>
      <w:lvlJc w:val="left"/>
      <w:pPr>
        <w:ind w:left="720" w:hanging="36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5363D9"/>
    <w:multiLevelType w:val="hybridMultilevel"/>
    <w:tmpl w:val="791A6C8E"/>
    <w:lvl w:ilvl="0" w:tplc="B7967522">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6465232">
    <w:abstractNumId w:val="17"/>
  </w:num>
  <w:num w:numId="2" w16cid:durableId="366024332">
    <w:abstractNumId w:val="7"/>
  </w:num>
  <w:num w:numId="3" w16cid:durableId="201672750">
    <w:abstractNumId w:val="9"/>
  </w:num>
  <w:num w:numId="4" w16cid:durableId="1341548737">
    <w:abstractNumId w:val="12"/>
  </w:num>
  <w:num w:numId="5" w16cid:durableId="400837258">
    <w:abstractNumId w:val="1"/>
  </w:num>
  <w:num w:numId="6" w16cid:durableId="179661367">
    <w:abstractNumId w:val="5"/>
  </w:num>
  <w:num w:numId="7" w16cid:durableId="805782467">
    <w:abstractNumId w:val="14"/>
  </w:num>
  <w:num w:numId="8" w16cid:durableId="1534733433">
    <w:abstractNumId w:val="6"/>
  </w:num>
  <w:num w:numId="9" w16cid:durableId="144443935">
    <w:abstractNumId w:val="18"/>
  </w:num>
  <w:num w:numId="10" w16cid:durableId="824399637">
    <w:abstractNumId w:val="15"/>
  </w:num>
  <w:num w:numId="11" w16cid:durableId="209727360">
    <w:abstractNumId w:val="10"/>
  </w:num>
  <w:num w:numId="12" w16cid:durableId="558053845">
    <w:abstractNumId w:val="13"/>
  </w:num>
  <w:num w:numId="13" w16cid:durableId="2128231868">
    <w:abstractNumId w:val="2"/>
  </w:num>
  <w:num w:numId="14" w16cid:durableId="304817597">
    <w:abstractNumId w:val="3"/>
  </w:num>
  <w:num w:numId="15" w16cid:durableId="572155617">
    <w:abstractNumId w:val="16"/>
  </w:num>
  <w:num w:numId="16" w16cid:durableId="803353230">
    <w:abstractNumId w:val="11"/>
  </w:num>
  <w:num w:numId="17" w16cid:durableId="1908883146">
    <w:abstractNumId w:val="8"/>
  </w:num>
  <w:num w:numId="18" w16cid:durableId="1690375215">
    <w:abstractNumId w:val="4"/>
  </w:num>
  <w:num w:numId="19" w16cid:durableId="1463305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Turabian 9th Footno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vzp5afzc2eppgewzt5x0esos0rsevefr9z5&quot;&gt;LHIMLibrary&amp;apos;22&lt;record-ids&gt;&lt;item&gt;351&lt;/item&gt;&lt;item&gt;471&lt;/item&gt;&lt;item&gt;473&lt;/item&gt;&lt;item&gt;478&lt;/item&gt;&lt;item&gt;488&lt;/item&gt;&lt;item&gt;489&lt;/item&gt;&lt;item&gt;495&lt;/item&gt;&lt;item&gt;502&lt;/item&gt;&lt;item&gt;507&lt;/item&gt;&lt;item&gt;509&lt;/item&gt;&lt;item&gt;510&lt;/item&gt;&lt;item&gt;511&lt;/item&gt;&lt;item&gt;512&lt;/item&gt;&lt;item&gt;515&lt;/item&gt;&lt;/record-ids&gt;&lt;/item&gt;&lt;/Libraries&gt;"/>
  </w:docVars>
  <w:rsids>
    <w:rsidRoot w:val="005948AF"/>
    <w:rsid w:val="00024F78"/>
    <w:rsid w:val="000555E7"/>
    <w:rsid w:val="000638FE"/>
    <w:rsid w:val="0007093C"/>
    <w:rsid w:val="000717FC"/>
    <w:rsid w:val="00074A02"/>
    <w:rsid w:val="00076790"/>
    <w:rsid w:val="00077960"/>
    <w:rsid w:val="00081649"/>
    <w:rsid w:val="0009135E"/>
    <w:rsid w:val="00093857"/>
    <w:rsid w:val="000B792F"/>
    <w:rsid w:val="000C3E88"/>
    <w:rsid w:val="000C4F19"/>
    <w:rsid w:val="000D036D"/>
    <w:rsid w:val="000D0842"/>
    <w:rsid w:val="000E4D4D"/>
    <w:rsid w:val="000E5FA5"/>
    <w:rsid w:val="000E7C36"/>
    <w:rsid w:val="001007E6"/>
    <w:rsid w:val="001178E9"/>
    <w:rsid w:val="00133077"/>
    <w:rsid w:val="00134535"/>
    <w:rsid w:val="001417AE"/>
    <w:rsid w:val="00143587"/>
    <w:rsid w:val="00151071"/>
    <w:rsid w:val="001539AE"/>
    <w:rsid w:val="001778A8"/>
    <w:rsid w:val="0019101D"/>
    <w:rsid w:val="001A2187"/>
    <w:rsid w:val="001F1BB6"/>
    <w:rsid w:val="001F456E"/>
    <w:rsid w:val="00205A6C"/>
    <w:rsid w:val="00223234"/>
    <w:rsid w:val="0022440F"/>
    <w:rsid w:val="00230346"/>
    <w:rsid w:val="002336D3"/>
    <w:rsid w:val="002566D5"/>
    <w:rsid w:val="0026169B"/>
    <w:rsid w:val="00274138"/>
    <w:rsid w:val="00276715"/>
    <w:rsid w:val="0029557B"/>
    <w:rsid w:val="00297BB8"/>
    <w:rsid w:val="002A5342"/>
    <w:rsid w:val="002B1DC7"/>
    <w:rsid w:val="002B3C9B"/>
    <w:rsid w:val="002C45F1"/>
    <w:rsid w:val="002D089A"/>
    <w:rsid w:val="00301A9E"/>
    <w:rsid w:val="00303EB7"/>
    <w:rsid w:val="00304D66"/>
    <w:rsid w:val="00306321"/>
    <w:rsid w:val="00311B92"/>
    <w:rsid w:val="0031259A"/>
    <w:rsid w:val="003311BF"/>
    <w:rsid w:val="003418BA"/>
    <w:rsid w:val="0035207E"/>
    <w:rsid w:val="0036010C"/>
    <w:rsid w:val="00374459"/>
    <w:rsid w:val="00380DC6"/>
    <w:rsid w:val="003D2C1E"/>
    <w:rsid w:val="003F0AC5"/>
    <w:rsid w:val="00411056"/>
    <w:rsid w:val="00411417"/>
    <w:rsid w:val="004441C3"/>
    <w:rsid w:val="0045102B"/>
    <w:rsid w:val="00457ABE"/>
    <w:rsid w:val="004613E7"/>
    <w:rsid w:val="0048506D"/>
    <w:rsid w:val="004A03B4"/>
    <w:rsid w:val="004A1D36"/>
    <w:rsid w:val="004B1326"/>
    <w:rsid w:val="005057C5"/>
    <w:rsid w:val="005506C3"/>
    <w:rsid w:val="00570AAB"/>
    <w:rsid w:val="00585051"/>
    <w:rsid w:val="005948AF"/>
    <w:rsid w:val="005971F1"/>
    <w:rsid w:val="005A5619"/>
    <w:rsid w:val="005B1AD9"/>
    <w:rsid w:val="005B4E4A"/>
    <w:rsid w:val="005B6916"/>
    <w:rsid w:val="005C5F8A"/>
    <w:rsid w:val="005C71F5"/>
    <w:rsid w:val="005F4B0C"/>
    <w:rsid w:val="005F77F8"/>
    <w:rsid w:val="00610CC6"/>
    <w:rsid w:val="006152BC"/>
    <w:rsid w:val="00621241"/>
    <w:rsid w:val="006402E9"/>
    <w:rsid w:val="00641FDA"/>
    <w:rsid w:val="0066253D"/>
    <w:rsid w:val="00666AB5"/>
    <w:rsid w:val="00685331"/>
    <w:rsid w:val="006930AF"/>
    <w:rsid w:val="006A12FE"/>
    <w:rsid w:val="006D0614"/>
    <w:rsid w:val="006E362A"/>
    <w:rsid w:val="006E7792"/>
    <w:rsid w:val="006F112C"/>
    <w:rsid w:val="00714EAF"/>
    <w:rsid w:val="0072166B"/>
    <w:rsid w:val="00721E65"/>
    <w:rsid w:val="00723B6A"/>
    <w:rsid w:val="00726F52"/>
    <w:rsid w:val="00734F42"/>
    <w:rsid w:val="0074456B"/>
    <w:rsid w:val="00757AF8"/>
    <w:rsid w:val="00760169"/>
    <w:rsid w:val="00765C59"/>
    <w:rsid w:val="007854F5"/>
    <w:rsid w:val="00794EB2"/>
    <w:rsid w:val="007A2153"/>
    <w:rsid w:val="007A2218"/>
    <w:rsid w:val="007A454F"/>
    <w:rsid w:val="007A6D69"/>
    <w:rsid w:val="007B21F6"/>
    <w:rsid w:val="007B3020"/>
    <w:rsid w:val="007B5ABD"/>
    <w:rsid w:val="007B76F5"/>
    <w:rsid w:val="007C1756"/>
    <w:rsid w:val="007C47CF"/>
    <w:rsid w:val="007C5773"/>
    <w:rsid w:val="007D3894"/>
    <w:rsid w:val="007D7CCC"/>
    <w:rsid w:val="007E0DF1"/>
    <w:rsid w:val="007E20AD"/>
    <w:rsid w:val="0080767F"/>
    <w:rsid w:val="00807E22"/>
    <w:rsid w:val="00827219"/>
    <w:rsid w:val="00841516"/>
    <w:rsid w:val="00843644"/>
    <w:rsid w:val="008627BA"/>
    <w:rsid w:val="0088762B"/>
    <w:rsid w:val="00893CAF"/>
    <w:rsid w:val="008B4106"/>
    <w:rsid w:val="008B6351"/>
    <w:rsid w:val="008C49C1"/>
    <w:rsid w:val="008F5876"/>
    <w:rsid w:val="008F638D"/>
    <w:rsid w:val="009045C6"/>
    <w:rsid w:val="00915EA4"/>
    <w:rsid w:val="009242F1"/>
    <w:rsid w:val="00943398"/>
    <w:rsid w:val="00994F17"/>
    <w:rsid w:val="009A6AB9"/>
    <w:rsid w:val="009A74B8"/>
    <w:rsid w:val="009B16BE"/>
    <w:rsid w:val="009B3558"/>
    <w:rsid w:val="009C3FBA"/>
    <w:rsid w:val="009C75FF"/>
    <w:rsid w:val="009F2B13"/>
    <w:rsid w:val="00A02F2F"/>
    <w:rsid w:val="00A05835"/>
    <w:rsid w:val="00A11E54"/>
    <w:rsid w:val="00A20AE3"/>
    <w:rsid w:val="00A4432D"/>
    <w:rsid w:val="00A446BA"/>
    <w:rsid w:val="00A64EAB"/>
    <w:rsid w:val="00A81683"/>
    <w:rsid w:val="00A82C34"/>
    <w:rsid w:val="00AF5CE2"/>
    <w:rsid w:val="00B058E2"/>
    <w:rsid w:val="00B17D70"/>
    <w:rsid w:val="00B3648F"/>
    <w:rsid w:val="00B46597"/>
    <w:rsid w:val="00B650CB"/>
    <w:rsid w:val="00B7794E"/>
    <w:rsid w:val="00B819AC"/>
    <w:rsid w:val="00B82A81"/>
    <w:rsid w:val="00B86E06"/>
    <w:rsid w:val="00B9288F"/>
    <w:rsid w:val="00BA1F76"/>
    <w:rsid w:val="00BE596E"/>
    <w:rsid w:val="00BF618C"/>
    <w:rsid w:val="00C019AB"/>
    <w:rsid w:val="00C02D9A"/>
    <w:rsid w:val="00C23122"/>
    <w:rsid w:val="00C24BA6"/>
    <w:rsid w:val="00C36BCF"/>
    <w:rsid w:val="00C61FEB"/>
    <w:rsid w:val="00C81077"/>
    <w:rsid w:val="00C819C6"/>
    <w:rsid w:val="00C90151"/>
    <w:rsid w:val="00CA3467"/>
    <w:rsid w:val="00CC6B92"/>
    <w:rsid w:val="00CD61F0"/>
    <w:rsid w:val="00D025E6"/>
    <w:rsid w:val="00D04883"/>
    <w:rsid w:val="00D11376"/>
    <w:rsid w:val="00D1210A"/>
    <w:rsid w:val="00D312E6"/>
    <w:rsid w:val="00D35E6B"/>
    <w:rsid w:val="00D87979"/>
    <w:rsid w:val="00D93D75"/>
    <w:rsid w:val="00DA37E9"/>
    <w:rsid w:val="00DB036D"/>
    <w:rsid w:val="00DB242C"/>
    <w:rsid w:val="00DB4C30"/>
    <w:rsid w:val="00DE3604"/>
    <w:rsid w:val="00DE3F16"/>
    <w:rsid w:val="00DE4137"/>
    <w:rsid w:val="00E01FD4"/>
    <w:rsid w:val="00E06CC7"/>
    <w:rsid w:val="00E2465F"/>
    <w:rsid w:val="00E821DD"/>
    <w:rsid w:val="00E923E8"/>
    <w:rsid w:val="00EB317F"/>
    <w:rsid w:val="00ED2342"/>
    <w:rsid w:val="00ED3514"/>
    <w:rsid w:val="00ED513E"/>
    <w:rsid w:val="00ED70B4"/>
    <w:rsid w:val="00F1295E"/>
    <w:rsid w:val="00F301B6"/>
    <w:rsid w:val="00F33F9B"/>
    <w:rsid w:val="00F43EC1"/>
    <w:rsid w:val="00F4620D"/>
    <w:rsid w:val="00F562D5"/>
    <w:rsid w:val="00F6382B"/>
    <w:rsid w:val="00F63CF2"/>
    <w:rsid w:val="00F66578"/>
    <w:rsid w:val="00F74134"/>
    <w:rsid w:val="00F74448"/>
    <w:rsid w:val="00FA57F8"/>
    <w:rsid w:val="00FC63ED"/>
    <w:rsid w:val="00FC777F"/>
    <w:rsid w:val="00FD03D6"/>
    <w:rsid w:val="00FF4080"/>
    <w:rsid w:val="00FF4A2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09655"/>
  <w15:chartTrackingRefBased/>
  <w15:docId w15:val="{19057986-178A-48CF-89DB-E62011FC5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30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30AF"/>
  </w:style>
  <w:style w:type="paragraph" w:styleId="Footer">
    <w:name w:val="footer"/>
    <w:basedOn w:val="Normal"/>
    <w:link w:val="FooterChar"/>
    <w:uiPriority w:val="99"/>
    <w:unhideWhenUsed/>
    <w:rsid w:val="006930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30AF"/>
  </w:style>
  <w:style w:type="paragraph" w:styleId="ListParagraph">
    <w:name w:val="List Paragraph"/>
    <w:basedOn w:val="Normal"/>
    <w:uiPriority w:val="34"/>
    <w:qFormat/>
    <w:rsid w:val="005948AF"/>
    <w:pPr>
      <w:ind w:left="720"/>
      <w:contextualSpacing/>
    </w:pPr>
  </w:style>
  <w:style w:type="paragraph" w:styleId="FootnoteText">
    <w:name w:val="footnote text"/>
    <w:basedOn w:val="Normal"/>
    <w:link w:val="FootnoteTextChar"/>
    <w:uiPriority w:val="99"/>
    <w:semiHidden/>
    <w:unhideWhenUsed/>
    <w:rsid w:val="005948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48AF"/>
    <w:rPr>
      <w:sz w:val="20"/>
      <w:szCs w:val="20"/>
    </w:rPr>
  </w:style>
  <w:style w:type="character" w:styleId="FootnoteReference">
    <w:name w:val="footnote reference"/>
    <w:basedOn w:val="DefaultParagraphFont"/>
    <w:uiPriority w:val="99"/>
    <w:semiHidden/>
    <w:unhideWhenUsed/>
    <w:rsid w:val="005948AF"/>
    <w:rPr>
      <w:vertAlign w:val="superscript"/>
    </w:rPr>
  </w:style>
  <w:style w:type="character" w:styleId="Hyperlink">
    <w:name w:val="Hyperlink"/>
    <w:basedOn w:val="DefaultParagraphFont"/>
    <w:uiPriority w:val="99"/>
    <w:unhideWhenUsed/>
    <w:rsid w:val="005948AF"/>
    <w:rPr>
      <w:color w:val="0563C1" w:themeColor="hyperlink"/>
      <w:u w:val="single"/>
    </w:rPr>
  </w:style>
  <w:style w:type="paragraph" w:customStyle="1" w:styleId="EndNoteBibliographyTitle">
    <w:name w:val="EndNote Bibliography Title"/>
    <w:basedOn w:val="Normal"/>
    <w:link w:val="EndNoteBibliographyTitleChar"/>
    <w:rsid w:val="00CD61F0"/>
    <w:pPr>
      <w:spacing w:after="0"/>
      <w:jc w:val="center"/>
    </w:pPr>
    <w:rPr>
      <w:rFonts w:ascii="Calibri" w:hAnsi="Calibri" w:cs="Calibri"/>
      <w:noProof/>
    </w:rPr>
  </w:style>
  <w:style w:type="character" w:customStyle="1" w:styleId="EndNoteBibliographyTitleChar">
    <w:name w:val="EndNote Bibliography Title Char"/>
    <w:basedOn w:val="FootnoteTextChar"/>
    <w:link w:val="EndNoteBibliographyTitle"/>
    <w:rsid w:val="00CD61F0"/>
    <w:rPr>
      <w:rFonts w:ascii="Calibri" w:hAnsi="Calibri" w:cs="Calibri"/>
      <w:noProof/>
      <w:sz w:val="20"/>
      <w:szCs w:val="20"/>
    </w:rPr>
  </w:style>
  <w:style w:type="paragraph" w:customStyle="1" w:styleId="EndNoteBibliography">
    <w:name w:val="EndNote Bibliography"/>
    <w:basedOn w:val="Normal"/>
    <w:link w:val="EndNoteBibliographyChar"/>
    <w:rsid w:val="00CD61F0"/>
    <w:pPr>
      <w:spacing w:line="240" w:lineRule="auto"/>
    </w:pPr>
    <w:rPr>
      <w:rFonts w:ascii="Calibri" w:hAnsi="Calibri" w:cs="Calibri"/>
      <w:noProof/>
    </w:rPr>
  </w:style>
  <w:style w:type="character" w:customStyle="1" w:styleId="EndNoteBibliographyChar">
    <w:name w:val="EndNote Bibliography Char"/>
    <w:basedOn w:val="FootnoteTextChar"/>
    <w:link w:val="EndNoteBibliography"/>
    <w:rsid w:val="00CD61F0"/>
    <w:rPr>
      <w:rFonts w:ascii="Calibri" w:hAnsi="Calibri" w:cs="Calibri"/>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544811">
      <w:bodyDiv w:val="1"/>
      <w:marLeft w:val="0"/>
      <w:marRight w:val="0"/>
      <w:marTop w:val="0"/>
      <w:marBottom w:val="0"/>
      <w:divBdr>
        <w:top w:val="none" w:sz="0" w:space="0" w:color="auto"/>
        <w:left w:val="none" w:sz="0" w:space="0" w:color="auto"/>
        <w:bottom w:val="none" w:sz="0" w:space="0" w:color="auto"/>
        <w:right w:val="none" w:sz="0" w:space="0" w:color="auto"/>
      </w:divBdr>
    </w:div>
    <w:div w:id="660305846">
      <w:bodyDiv w:val="1"/>
      <w:marLeft w:val="0"/>
      <w:marRight w:val="0"/>
      <w:marTop w:val="0"/>
      <w:marBottom w:val="0"/>
      <w:divBdr>
        <w:top w:val="none" w:sz="0" w:space="0" w:color="auto"/>
        <w:left w:val="none" w:sz="0" w:space="0" w:color="auto"/>
        <w:bottom w:val="none" w:sz="0" w:space="0" w:color="auto"/>
        <w:right w:val="none" w:sz="0" w:space="0" w:color="auto"/>
      </w:divBdr>
    </w:div>
    <w:div w:id="167221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papyri.info/ddbdp/p.oxy%3B4%3B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2506</Words>
  <Characters>14286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Finnegan</dc:creator>
  <cp:keywords/>
  <dc:description/>
  <cp:lastModifiedBy>Mimi Finnegan</cp:lastModifiedBy>
  <cp:revision>2</cp:revision>
  <dcterms:created xsi:type="dcterms:W3CDTF">2025-02-04T20:26:00Z</dcterms:created>
  <dcterms:modified xsi:type="dcterms:W3CDTF">2025-02-04T20:26:00Z</dcterms:modified>
</cp:coreProperties>
</file>